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吉林市第二轮中</w:t>
      </w:r>
      <w:bookmarkStart w:id="0" w:name="_GoBack"/>
      <w:bookmarkEnd w:id="0"/>
      <w:r>
        <w:rPr>
          <w:rFonts w:hint="eastAsia" w:ascii="方正小标宋简体" w:eastAsia="方正小标宋简体"/>
          <w:sz w:val="44"/>
          <w:szCs w:val="44"/>
          <w:lang w:val="en-US" w:eastAsia="zh-CN"/>
        </w:rPr>
        <w:t>央</w:t>
      </w:r>
      <w:r>
        <w:rPr>
          <w:rFonts w:hint="eastAsia" w:ascii="方正小标宋简体" w:eastAsia="方正小标宋简体"/>
          <w:sz w:val="44"/>
          <w:szCs w:val="44"/>
        </w:rPr>
        <w:t>生态环境保护督察反馈</w:t>
      </w:r>
      <w:r>
        <w:rPr>
          <w:rFonts w:hint="eastAsia" w:ascii="方正小标宋简体" w:eastAsia="方正小标宋简体"/>
          <w:sz w:val="44"/>
          <w:szCs w:val="44"/>
          <w:lang w:val="en-US" w:eastAsia="zh-CN"/>
        </w:rPr>
        <w:t>问题</w:t>
      </w:r>
      <w:r>
        <w:rPr>
          <w:rFonts w:hint="eastAsia" w:ascii="方正小标宋简体" w:eastAsia="方正小标宋简体"/>
          <w:sz w:val="44"/>
          <w:szCs w:val="44"/>
        </w:rPr>
        <w:t>整改任务（序号</w:t>
      </w:r>
      <w:r>
        <w:rPr>
          <w:rFonts w:hint="eastAsia" w:ascii="方正小标宋简体" w:eastAsia="方正小标宋简体"/>
          <w:sz w:val="44"/>
          <w:szCs w:val="44"/>
          <w:lang w:eastAsia="zh-CN"/>
        </w:rPr>
        <w:t>十七</w:t>
      </w:r>
      <w:r>
        <w:rPr>
          <w:rFonts w:hint="eastAsia" w:ascii="方正小标宋简体" w:eastAsia="方正小标宋简体"/>
          <w:sz w:val="44"/>
          <w:szCs w:val="44"/>
        </w:rPr>
        <w:t>）</w:t>
      </w:r>
      <w:r>
        <w:rPr>
          <w:rFonts w:hint="eastAsia" w:ascii="方正小标宋简体" w:eastAsia="方正小标宋简体"/>
          <w:sz w:val="44"/>
          <w:szCs w:val="44"/>
          <w:lang w:val="en-US" w:eastAsia="zh-CN"/>
        </w:rPr>
        <w:t>验收申请</w:t>
      </w:r>
      <w:r>
        <w:rPr>
          <w:rFonts w:hint="eastAsia" w:ascii="方正小标宋简体" w:eastAsia="方正小标宋简体"/>
          <w:sz w:val="44"/>
          <w:szCs w:val="44"/>
        </w:rPr>
        <w:t>表</w:t>
      </w:r>
    </w:p>
    <w:p>
      <w:pPr>
        <w:widowControl/>
        <w:rPr>
          <w:rFonts w:hint="eastAsia" w:eastAsia="楷体_GB2312"/>
          <w:sz w:val="32"/>
          <w:szCs w:val="32"/>
        </w:rPr>
      </w:pPr>
    </w:p>
    <w:p>
      <w:pPr>
        <w:widowControl/>
        <w:rPr>
          <w:rFonts w:hint="eastAsia" w:eastAsia="楷体_GB2312"/>
          <w:sz w:val="32"/>
          <w:szCs w:val="32"/>
        </w:rPr>
      </w:pPr>
      <w:r>
        <w:rPr>
          <w:rFonts w:hint="eastAsia" w:eastAsia="楷体_GB2312"/>
          <w:sz w:val="32"/>
          <w:szCs w:val="32"/>
        </w:rPr>
        <w:t>填报单位（盖章）：                     时间：</w:t>
      </w:r>
      <w:r>
        <w:rPr>
          <w:rFonts w:hint="eastAsia" w:eastAsia="楷体_GB2312"/>
          <w:sz w:val="32"/>
          <w:szCs w:val="32"/>
          <w:lang w:val="en-US" w:eastAsia="zh-CN"/>
        </w:rPr>
        <w:t>12</w:t>
      </w:r>
      <w:r>
        <w:rPr>
          <w:rFonts w:hint="eastAsia" w:eastAsia="楷体_GB2312"/>
          <w:sz w:val="32"/>
          <w:szCs w:val="32"/>
        </w:rPr>
        <w:t>月</w:t>
      </w:r>
      <w:r>
        <w:rPr>
          <w:rFonts w:hint="eastAsia" w:eastAsia="楷体_GB2312"/>
          <w:sz w:val="32"/>
          <w:szCs w:val="32"/>
          <w:lang w:val="en-US" w:eastAsia="zh-CN"/>
        </w:rPr>
        <w:t>29</w:t>
      </w:r>
      <w:r>
        <w:rPr>
          <w:rFonts w:hint="eastAsia" w:eastAsia="楷体_GB2312"/>
          <w:sz w:val="32"/>
          <w:szCs w:val="32"/>
        </w:rPr>
        <w:t>日</w:t>
      </w:r>
    </w:p>
    <w:tbl>
      <w:tblPr>
        <w:tblStyle w:val="5"/>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690"/>
        <w:gridCol w:w="4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61" w:type="dxa"/>
            <w:noWrap w:val="0"/>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eastAsia="楷体_GB2312"/>
                <w:color w:val="auto"/>
                <w:kern w:val="0"/>
                <w:sz w:val="28"/>
                <w:szCs w:val="28"/>
              </w:rPr>
            </w:pPr>
            <w:r>
              <w:rPr>
                <w:rFonts w:hint="eastAsia" w:eastAsia="楷体_GB2312"/>
                <w:color w:val="auto"/>
                <w:kern w:val="0"/>
                <w:sz w:val="28"/>
                <w:szCs w:val="28"/>
              </w:rPr>
              <w:t>整改任务</w:t>
            </w:r>
          </w:p>
        </w:tc>
        <w:tc>
          <w:tcPr>
            <w:tcW w:w="895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吉林省松花江、辽河流域污染治理虽取得明显成效，但影响水质根本改善的城镇环境基础设施短板仍然突出，规模化畜禽养殖污染防治力度不够，治理成效仍不稳固，一些区域甚至呈现反弹趋势。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61" w:type="dxa"/>
            <w:noWrap w:val="0"/>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eastAsia="楷体_GB2312"/>
                <w:color w:val="auto"/>
                <w:kern w:val="0"/>
                <w:sz w:val="28"/>
                <w:szCs w:val="28"/>
              </w:rPr>
            </w:pPr>
            <w:r>
              <w:rPr>
                <w:rFonts w:hint="eastAsia" w:eastAsia="楷体_GB2312"/>
                <w:color w:val="auto"/>
                <w:kern w:val="0"/>
                <w:sz w:val="28"/>
                <w:szCs w:val="28"/>
              </w:rPr>
              <w:t>整改目标</w:t>
            </w:r>
          </w:p>
        </w:tc>
        <w:tc>
          <w:tcPr>
            <w:tcW w:w="895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加快城镇基础设施建设，逐步补齐短板；提高畜禽养殖粪污治理能力，巩固水质治理成效，断面水质稳定达标。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eastAsia="楷体_GB2312"/>
                <w:color w:val="auto"/>
                <w:kern w:val="0"/>
                <w:sz w:val="28"/>
                <w:szCs w:val="28"/>
              </w:rPr>
            </w:pPr>
            <w:r>
              <w:rPr>
                <w:rFonts w:hint="eastAsia" w:eastAsia="楷体_GB2312"/>
                <w:color w:val="auto"/>
                <w:kern w:val="0"/>
                <w:sz w:val="28"/>
                <w:szCs w:val="28"/>
              </w:rPr>
              <w:t>整改措施</w:t>
            </w:r>
          </w:p>
        </w:tc>
        <w:tc>
          <w:tcPr>
            <w:tcW w:w="4690"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60" w:lineRule="exact"/>
              <w:ind w:left="0" w:leftChars="0" w:firstLine="0" w:firstLineChars="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lang w:val="en-US" w:eastAsia="zh-CN"/>
              </w:rPr>
              <w:t>省措施</w:t>
            </w:r>
          </w:p>
        </w:tc>
        <w:tc>
          <w:tcPr>
            <w:tcW w:w="4269"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60" w:lineRule="exact"/>
              <w:ind w:left="0" w:lef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吉林市对应措施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961" w:type="dxa"/>
            <w:vMerge w:val="continue"/>
            <w:noWrap w:val="0"/>
            <w:vAlign w:val="center"/>
          </w:tcPr>
          <w:p>
            <w:pPr>
              <w:pStyle w:val="2"/>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60" w:lineRule="exact"/>
              <w:ind w:left="0" w:leftChars="0" w:firstLine="0" w:firstLineChars="0"/>
              <w:textAlignment w:val="auto"/>
              <w:rPr>
                <w:color w:val="auto"/>
                <w:sz w:val="28"/>
                <w:szCs w:val="28"/>
              </w:rPr>
            </w:pPr>
          </w:p>
        </w:tc>
        <w:tc>
          <w:tcPr>
            <w:tcW w:w="4690"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一）2022年8月底前，省住建厅指导各地全面梳理城市污水处理厂存在的满负荷、超负荷等处理能力不足问题，建立问题清单。12月底前，指导存在问题的地区出台推进工作方案，按照方案确定的时间节点逐步推动解决。</w:t>
            </w:r>
          </w:p>
        </w:tc>
        <w:tc>
          <w:tcPr>
            <w:tcW w:w="4269"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一）2022年6月底前，市住建局组织开展全市城镇环境基础设施摸底调查，摸清城镇环境基础设施短板底数，建立问题清单，12月底前，对排查发现的问题制定推进工作方案，按照方案确定的时间节点逐步推动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96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ind w:firstLine="420" w:firstLineChars="200"/>
              <w:textAlignment w:val="auto"/>
            </w:pPr>
          </w:p>
        </w:tc>
        <w:tc>
          <w:tcPr>
            <w:tcW w:w="469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二）2022年8月底前，省畜牧局会同省生态环境厅等部门，组织各地开展畜禽粪污问题隐患排查整治行动，对规模养殖场、粪污集中处理设施进行排查，发现问题组织整改。2023年6月底前，联合开展畜禽粪污资源化利用工作年度考核。</w:t>
            </w:r>
          </w:p>
        </w:tc>
        <w:tc>
          <w:tcPr>
            <w:tcW w:w="4269"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（二）2022年8月底前，市农业农村局会同市生态环境局等相关部门，组织开展规模化养殖场粪污处理设施配套建设和使用情况监督检查，针对发现问题及时督促推进整改。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trPr>
        <w:tc>
          <w:tcPr>
            <w:tcW w:w="96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仿宋_GB2312" w:eastAsia="仿宋_GB2312" w:cs="仿宋_GB2312"/>
                <w:color w:val="auto"/>
                <w:sz w:val="28"/>
                <w:szCs w:val="28"/>
                <w:lang w:eastAsia="zh-CN"/>
              </w:rPr>
            </w:pPr>
          </w:p>
        </w:tc>
        <w:tc>
          <w:tcPr>
            <w:tcW w:w="469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p>
        </w:tc>
        <w:tc>
          <w:tcPr>
            <w:tcW w:w="4269"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（三）2022年12月底前，市农业农村局组织各县（市）区、开发区对粪污处理中心运行情况进行全面排查,发现问题及时整改，指导养殖场(户)建立或完善粪污收、储、运、用台账，明确管理责任和管理办法。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jc w:val="center"/>
        </w:trPr>
        <w:tc>
          <w:tcPr>
            <w:tcW w:w="96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仿宋_GB2312" w:hAnsi="仿宋_GB2312" w:eastAsia="仿宋_GB2312" w:cs="仿宋_GB2312"/>
                <w:color w:val="auto"/>
                <w:sz w:val="28"/>
                <w:szCs w:val="28"/>
                <w:lang w:eastAsia="zh-CN"/>
              </w:rPr>
            </w:pPr>
          </w:p>
        </w:tc>
        <w:tc>
          <w:tcPr>
            <w:tcW w:w="4690"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三）2023年12月底前，省畜牧局在选取部分县市，开展畜禽散养密集村（屯）粪污治理适用模式试点的基础上，探索形成成本低、易推广的新技术模式，促进粪污资源化利用。逐步实现全省规模养殖场全部配套建设粪污处理设施，收储运体系运行良好，畜禽粪污集中收储设施无长期闲置，粪污综合利用率稳定在85%以上。</w:t>
            </w:r>
          </w:p>
        </w:tc>
        <w:tc>
          <w:tcPr>
            <w:tcW w:w="4269"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2023年12月底前，市农业农村局在整县推进畜禽散养密集村（屯）粪污治理适用模式试点的基础上，探索形成成本低、易推广的新技术模式，促进粪污资源化利用。逐步实现全市规模养殖场全部配套建设粪污处理设施，收储运体系运行良好，畜禽粪污集中收储设施无长期闲置，粪污综合利用率稳定在85%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jc w:val="center"/>
        </w:trPr>
        <w:tc>
          <w:tcPr>
            <w:tcW w:w="961" w:type="dxa"/>
            <w:vMerge w:val="continue"/>
            <w:noWrap w:val="0"/>
            <w:vAlign w:val="center"/>
          </w:tcPr>
          <w:p>
            <w:pPr>
              <w:pStyle w:val="2"/>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60" w:lineRule="exact"/>
              <w:ind w:left="0" w:leftChars="0" w:firstLine="640" w:firstLineChars="200"/>
              <w:textAlignment w:val="auto"/>
              <w:rPr>
                <w:color w:val="auto"/>
              </w:rPr>
            </w:pPr>
          </w:p>
        </w:tc>
        <w:tc>
          <w:tcPr>
            <w:tcW w:w="4690" w:type="dxa"/>
            <w:noWrap w:val="0"/>
            <w:vAlign w:val="center"/>
          </w:tcPr>
          <w:p>
            <w:pPr>
              <w:pStyle w:val="2"/>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2022年3月底前，省生态环境厅制定并下发《关于严格管控全省重点断面水质的通知》，组织各地对重点断面实施严格水质管控措施。2022年8月底前，组织召开水质分析和帮扶会议，指导国考断面水质巩固提升工作，重点加强18个水质同比恶化的国控断面指导。2022年12月底，全省国控断面达到或优于三类的水体比例和劣五类水体比例达到或优于国家年度考核目标要求。</w:t>
            </w:r>
          </w:p>
        </w:tc>
        <w:tc>
          <w:tcPr>
            <w:tcW w:w="4269" w:type="dxa"/>
            <w:tcBorders>
              <w:bottom w:val="single" w:color="auto" w:sz="4" w:space="0"/>
            </w:tcBorders>
            <w:noWrap w:val="0"/>
            <w:vAlign w:val="center"/>
          </w:tcPr>
          <w:p>
            <w:pPr>
              <w:pStyle w:val="2"/>
              <w:keepNext w:val="0"/>
              <w:keepLines w:val="0"/>
              <w:pageBreakBefore w:val="0"/>
              <w:widowControl/>
              <w:shd w:val="clear" w:color="auto" w:fill="FFFFFF"/>
              <w:kinsoku/>
              <w:wordWrap/>
              <w:overflowPunct/>
              <w:topLinePunct w:val="0"/>
              <w:autoSpaceDE/>
              <w:autoSpaceDN/>
              <w:bidi w:val="0"/>
              <w:adjustRightInd w:val="0"/>
              <w:snapToGrid w:val="0"/>
              <w:spacing w:beforeLines="0" w:afterLines="0" w:line="44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五）市生态环境局制定并下发《关于严格管控全市重点断面水质的通知》，加强对国控考核断面的通报、调度、预警、督办，指导国考断面水质巩固提升工作。2022年12月底，全市国考断面达到或优于三类的水体比例和劣五类水体比例达到或优于国家年度考核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eastAsia="楷体_GB2312"/>
                <w:b w:val="0"/>
                <w:bCs w:val="0"/>
                <w:color w:val="auto"/>
                <w:kern w:val="0"/>
                <w:sz w:val="28"/>
                <w:szCs w:val="28"/>
              </w:rPr>
            </w:pPr>
            <w:r>
              <w:rPr>
                <w:rFonts w:hint="eastAsia" w:eastAsia="楷体_GB2312"/>
                <w:b w:val="0"/>
                <w:bCs w:val="0"/>
                <w:color w:val="auto"/>
                <w:kern w:val="0"/>
                <w:sz w:val="28"/>
                <w:szCs w:val="28"/>
              </w:rPr>
              <w:t>整改</w:t>
            </w:r>
          </w:p>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eastAsia="楷体_GB2312"/>
                <w:b w:val="0"/>
                <w:bCs w:val="0"/>
                <w:color w:val="auto"/>
                <w:kern w:val="0"/>
                <w:sz w:val="28"/>
                <w:szCs w:val="28"/>
              </w:rPr>
            </w:pPr>
            <w:r>
              <w:rPr>
                <w:rFonts w:hint="eastAsia" w:eastAsia="楷体_GB2312"/>
                <w:b w:val="0"/>
                <w:bCs w:val="0"/>
                <w:color w:val="auto"/>
                <w:kern w:val="0"/>
                <w:sz w:val="28"/>
                <w:szCs w:val="28"/>
              </w:rPr>
              <w:t>完成</w:t>
            </w:r>
          </w:p>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eastAsia="楷体_GB2312"/>
                <w:b w:val="0"/>
                <w:bCs w:val="0"/>
                <w:color w:val="auto"/>
                <w:kern w:val="0"/>
                <w:sz w:val="28"/>
                <w:szCs w:val="28"/>
              </w:rPr>
            </w:pPr>
            <w:r>
              <w:rPr>
                <w:rFonts w:hint="eastAsia" w:eastAsia="楷体_GB2312"/>
                <w:b w:val="0"/>
                <w:bCs w:val="0"/>
                <w:color w:val="auto"/>
                <w:kern w:val="0"/>
                <w:sz w:val="28"/>
                <w:szCs w:val="28"/>
              </w:rPr>
              <w:t>情况</w:t>
            </w:r>
          </w:p>
        </w:tc>
        <w:tc>
          <w:tcPr>
            <w:tcW w:w="8959"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80" w:lineRule="exact"/>
              <w:ind w:leftChars="0" w:firstLine="584" w:firstLineChars="200"/>
              <w:textAlignment w:val="auto"/>
              <w:rPr>
                <w:rFonts w:hint="eastAsia" w:ascii="仿宋_GB2312" w:hAnsi="仿宋_GB2312" w:cs="仿宋_GB2312"/>
                <w:b w:val="0"/>
                <w:bCs w:val="0"/>
                <w:spacing w:val="6"/>
                <w:kern w:val="0"/>
                <w:sz w:val="28"/>
                <w:szCs w:val="28"/>
                <w:highlight w:val="none"/>
                <w:lang w:val="en-US" w:eastAsia="zh-CN" w:bidi="ar-SA"/>
              </w:rPr>
            </w:pPr>
            <w:r>
              <w:rPr>
                <w:rFonts w:hint="eastAsia" w:ascii="仿宋_GB2312" w:hAnsi="仿宋_GB2312" w:cs="仿宋_GB2312"/>
                <w:b w:val="0"/>
                <w:bCs w:val="0"/>
                <w:spacing w:val="6"/>
                <w:kern w:val="0"/>
                <w:sz w:val="28"/>
                <w:szCs w:val="28"/>
                <w:highlight w:val="none"/>
                <w:lang w:val="en-US" w:eastAsia="zh-CN" w:bidi="ar-SA"/>
              </w:rPr>
              <w:t>（一）市住建局组织各县（市）区、开发区于2022年6月前完成了城镇环境基础设施摸底调查，共发现排水管网和污水处理厂等方面问题11个，针对存在的问题各地均已制定管网改造计划和污水处理厂问题整改方案，按照时间节点逐步推动整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80" w:lineRule="exact"/>
              <w:ind w:leftChars="0" w:firstLine="584" w:firstLineChars="200"/>
              <w:textAlignment w:val="auto"/>
              <w:rPr>
                <w:rFonts w:hint="eastAsia" w:ascii="仿宋_GB2312" w:hAnsi="仿宋_GB2312" w:cs="仿宋_GB2312"/>
                <w:b w:val="0"/>
                <w:bCs w:val="0"/>
                <w:spacing w:val="6"/>
                <w:kern w:val="0"/>
                <w:sz w:val="28"/>
                <w:szCs w:val="28"/>
                <w:highlight w:val="none"/>
                <w:lang w:val="en-US" w:eastAsia="zh-CN" w:bidi="ar-SA"/>
              </w:rPr>
            </w:pPr>
            <w:r>
              <w:rPr>
                <w:rFonts w:hint="eastAsia" w:ascii="仿宋_GB2312" w:hAnsi="仿宋_GB2312" w:cs="仿宋_GB2312"/>
                <w:b w:val="0"/>
                <w:bCs w:val="0"/>
                <w:spacing w:val="6"/>
                <w:kern w:val="0"/>
                <w:sz w:val="28"/>
                <w:szCs w:val="28"/>
                <w:highlight w:val="none"/>
                <w:lang w:val="en-US" w:eastAsia="zh-CN" w:bidi="ar-SA"/>
              </w:rPr>
              <w:t>（二）吉林市农业农村局、吉林市生态环境局、吉林市乡村振兴局联合印发了《吉林市畜禽粪污问题隐患排查整治行动方案》（吉市农发〔2021〕132号），组织全市开展了畜禽粪污问题隐患排查。检查发现，42个规模养殖场存在粪污处理台账填写不规范、4个粪污处理设施破损、42处畜禽粪污随意堆放问题，已全部完成整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80" w:lineRule="exact"/>
              <w:ind w:leftChars="0" w:firstLine="584" w:firstLineChars="200"/>
              <w:textAlignment w:val="auto"/>
              <w:rPr>
                <w:rFonts w:hint="eastAsia" w:ascii="仿宋_GB2312" w:hAnsi="仿宋_GB2312" w:cs="仿宋_GB2312"/>
                <w:b w:val="0"/>
                <w:bCs w:val="0"/>
                <w:spacing w:val="6"/>
                <w:kern w:val="0"/>
                <w:sz w:val="28"/>
                <w:szCs w:val="28"/>
                <w:highlight w:val="none"/>
                <w:lang w:val="en-US" w:eastAsia="zh-CN" w:bidi="ar-SA"/>
              </w:rPr>
            </w:pPr>
            <w:r>
              <w:rPr>
                <w:rFonts w:hint="eastAsia" w:ascii="仿宋_GB2312" w:hAnsi="仿宋_GB2312" w:cs="仿宋_GB2312"/>
                <w:b w:val="0"/>
                <w:bCs w:val="0"/>
                <w:spacing w:val="6"/>
                <w:kern w:val="0"/>
                <w:sz w:val="28"/>
                <w:szCs w:val="28"/>
                <w:highlight w:val="none"/>
                <w:lang w:val="en-US" w:eastAsia="zh-CN" w:bidi="ar-SA"/>
              </w:rPr>
              <w:t>（三）吉林市农业农村局、吉林市生态环境局、吉林市乡村振兴局联合印发了《全市畜禽粪污治理专项行动工作方案》，在全市开展了畜禽粪污治理专项行动，累计出动检查人员2200余人次，下发宣传单3000份、宣传画800册，排查发现粪污台账填写不规范、畜禽粪污乱堆乱放、粪污处理设施损坏等问题90个，已全部完成整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80" w:lineRule="exact"/>
              <w:ind w:leftChars="0" w:firstLine="584" w:firstLineChars="200"/>
              <w:textAlignment w:val="auto"/>
              <w:rPr>
                <w:rFonts w:hint="eastAsia" w:ascii="仿宋_GB2312" w:hAnsi="仿宋_GB2312" w:cs="仿宋_GB2312"/>
                <w:b w:val="0"/>
                <w:bCs w:val="0"/>
                <w:spacing w:val="6"/>
                <w:kern w:val="0"/>
                <w:sz w:val="28"/>
                <w:szCs w:val="28"/>
                <w:highlight w:val="none"/>
                <w:lang w:val="en-US" w:eastAsia="zh-CN" w:bidi="ar-SA"/>
              </w:rPr>
            </w:pPr>
            <w:r>
              <w:rPr>
                <w:rFonts w:hint="eastAsia" w:ascii="仿宋_GB2312" w:hAnsi="仿宋_GB2312" w:cs="仿宋_GB2312"/>
                <w:b w:val="0"/>
                <w:bCs w:val="0"/>
                <w:spacing w:val="6"/>
                <w:kern w:val="0"/>
                <w:sz w:val="28"/>
                <w:szCs w:val="28"/>
                <w:highlight w:val="none"/>
                <w:lang w:val="en-US" w:eastAsia="zh-CN" w:bidi="ar-SA"/>
              </w:rPr>
              <w:t>（四）市农业农村局印发了《关于总结推广畜禽粪污资源化利用典型适用模式的通知》，在全市推广规模养殖场堆肥发酵、畜禽粪便+秸秆+微量元素生产有机肥、散养密集村屯堆沤站、塔式发酵罐生产有机肥、种养结合农牧循环等5种成熟经验做法，下发畜禽粪污资源化利用实用技术指南。截至目前，全市已建成有机肥加工企业16个，牛粪燃烧颗粒加工企业1个，畜禽粪污处理能力72万吨/年，生产加工有机肥30.5万吨/年。利用整县推进资金建设村级畜禽粪污堆沤站73个，全市粪污综合利用率稳定在85%以上。</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584" w:firstLineChars="200"/>
              <w:textAlignment w:val="auto"/>
              <w:rPr>
                <w:rFonts w:ascii="仿宋_GB2312" w:hAnsi="仿宋_GB2312" w:eastAsia="仿宋_GB2312" w:cs="仿宋_GB2312"/>
                <w:b w:val="0"/>
                <w:bCs w:val="0"/>
                <w:color w:val="auto"/>
                <w:kern w:val="2"/>
                <w:sz w:val="28"/>
                <w:szCs w:val="28"/>
                <w:lang w:bidi="ar-SA"/>
              </w:rPr>
            </w:pPr>
            <w:r>
              <w:rPr>
                <w:rFonts w:hint="eastAsia" w:ascii="仿宋_GB2312" w:hAnsi="仿宋_GB2312" w:cs="仿宋_GB2312"/>
                <w:b w:val="0"/>
                <w:bCs w:val="0"/>
                <w:spacing w:val="6"/>
                <w:kern w:val="0"/>
                <w:sz w:val="28"/>
                <w:szCs w:val="28"/>
                <w:highlight w:val="none"/>
                <w:lang w:val="en-US" w:eastAsia="zh-CN" w:bidi="ar-SA"/>
              </w:rPr>
              <w:t>（五）</w:t>
            </w:r>
            <w:r>
              <w:rPr>
                <w:rFonts w:hint="eastAsia" w:ascii="仿宋_GB2312" w:hAnsi="仿宋_GB2312" w:cs="仿宋_GB2312"/>
                <w:b w:val="0"/>
                <w:bCs w:val="0"/>
                <w:color w:val="auto"/>
                <w:spacing w:val="6"/>
                <w:kern w:val="0"/>
                <w:sz w:val="28"/>
                <w:szCs w:val="28"/>
                <w:highlight w:val="none"/>
                <w:lang w:val="en-US" w:eastAsia="zh-CN" w:bidi="ar-SA"/>
              </w:rPr>
              <w:t>2022年1月份，市生态环境局印发《关于严格管控全市重点断面水质的通知》,将10个重点断面列入重点管控，每月调度各县(市)区国考断面水质管控及监测等情况，全年水质通报7次，对水质不稳定断面下达预警函1次、提示函2次、督办函1次。2022年1-12月，吉林地区19个国考断面中，三类以上优良水体18 个，(9个二类，9个三类),优良水体比例94.7%,比上年提高5.3个百分点，无劣五类水体，全面完成国家年度考核目标要求。</w:t>
            </w:r>
          </w:p>
        </w:tc>
      </w:tr>
    </w:tbl>
    <w:p>
      <w:pPr>
        <w:pStyle w:val="3"/>
        <w:keepNext w:val="0"/>
        <w:keepLines w:val="0"/>
        <w:pageBreakBefore w:val="0"/>
        <w:numPr>
          <w:ilvl w:val="0"/>
          <w:numId w:val="0"/>
        </w:numPr>
        <w:kinsoku/>
        <w:wordWrap/>
        <w:overflowPunct/>
        <w:topLinePunct w:val="0"/>
        <w:autoSpaceDE/>
        <w:autoSpaceDN/>
        <w:bidi w:val="0"/>
        <w:spacing w:before="0" w:after="0" w:line="460" w:lineRule="exact"/>
        <w:ind w:right="0" w:rightChars="0"/>
        <w:jc w:val="both"/>
        <w:textAlignment w:val="auto"/>
      </w:pPr>
    </w:p>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Y2U2NTU3N2FjZmJmMTE1ZDM2YmMwNjk2N2ExNDQifQ=="/>
  </w:docVars>
  <w:rsids>
    <w:rsidRoot w:val="00000000"/>
    <w:rsid w:val="4AA2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560" w:lineRule="exact"/>
      <w:ind w:left="630" w:leftChars="300"/>
      <w:jc w:val="left"/>
      <w:outlineLvl w:val="2"/>
    </w:pPr>
    <w:rPr>
      <w:rFonts w:ascii="Times New Roman" w:hAnsi="Times New Roman" w:eastAsia="楷体"/>
      <w:sz w:val="32"/>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Times New Roman"/>
      <w:kern w:val="2"/>
      <w:sz w:val="32"/>
      <w:szCs w:val="32"/>
      <w:lang w:val="en-US" w:eastAsia="zh-CN" w:bidi="ar"/>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2023-12-29T06:24:58Z</dcterms:created>
  <dc:creator>Administrator</dc:creator>
  <cp:lastModifiedBy>铭</cp:lastModifiedBy>
  <dcterms:modified xsi:type="dcterms:W3CDTF">2023-12-29T06:25:21Z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1C6E3EC2737B4030A793280002D953CF_12</vt:lpwstr>
  </property>
</Properties>
</file>