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吉林市第二轮中央</w:t>
      </w:r>
      <w:r>
        <w:rPr>
          <w:rFonts w:hint="eastAsia" w:ascii="方正小标宋简体" w:eastAsia="方正小标宋简体"/>
          <w:sz w:val="44"/>
          <w:szCs w:val="44"/>
        </w:rPr>
        <w:t>生态环境保护督察反馈</w:t>
      </w:r>
      <w:r>
        <w:rPr>
          <w:rFonts w:hint="eastAsia" w:ascii="方正小标宋简体" w:eastAsia="方正小标宋简体"/>
          <w:sz w:val="44"/>
          <w:szCs w:val="44"/>
          <w:lang w:val="en-US" w:eastAsia="zh-CN"/>
        </w:rPr>
        <w:t>问题</w:t>
      </w:r>
      <w:r>
        <w:rPr>
          <w:rFonts w:hint="eastAsia" w:ascii="方正小标宋简体" w:eastAsia="方正小标宋简体"/>
          <w:sz w:val="44"/>
          <w:szCs w:val="44"/>
        </w:rPr>
        <w:t>整改任务（序号</w:t>
      </w:r>
      <w:r>
        <w:rPr>
          <w:rFonts w:hint="eastAsia" w:ascii="方正小标宋简体" w:eastAsia="方正小标宋简体"/>
          <w:sz w:val="44"/>
          <w:szCs w:val="44"/>
          <w:lang w:eastAsia="zh-CN"/>
        </w:rPr>
        <w:t>三十八</w:t>
      </w:r>
      <w:r>
        <w:rPr>
          <w:rFonts w:hint="eastAsia" w:ascii="方正小标宋简体" w:eastAsia="方正小标宋简体"/>
          <w:sz w:val="44"/>
          <w:szCs w:val="44"/>
        </w:rPr>
        <w:t>）</w:t>
      </w:r>
      <w:r>
        <w:rPr>
          <w:rFonts w:hint="eastAsia" w:ascii="方正小标宋简体" w:eastAsia="方正小标宋简体"/>
          <w:sz w:val="44"/>
          <w:szCs w:val="44"/>
          <w:lang w:val="en-US" w:eastAsia="zh-CN"/>
        </w:rPr>
        <w:t>验收申请</w:t>
      </w:r>
      <w:r>
        <w:rPr>
          <w:rFonts w:hint="eastAsia" w:ascii="方正小标宋简体" w:eastAsia="方正小标宋简体"/>
          <w:sz w:val="44"/>
          <w:szCs w:val="44"/>
        </w:rPr>
        <w:t>表</w:t>
      </w:r>
    </w:p>
    <w:p>
      <w:pPr>
        <w:widowControl/>
        <w:rPr>
          <w:rFonts w:hint="eastAsia" w:eastAsia="楷体_GB2312"/>
          <w:sz w:val="32"/>
          <w:szCs w:val="32"/>
        </w:rPr>
      </w:pPr>
    </w:p>
    <w:p>
      <w:pPr>
        <w:widowControl/>
        <w:rPr>
          <w:rFonts w:hint="eastAsia" w:eastAsia="楷体_GB2312"/>
          <w:sz w:val="32"/>
          <w:szCs w:val="32"/>
        </w:rPr>
      </w:pPr>
      <w:r>
        <w:rPr>
          <w:rFonts w:hint="eastAsia" w:eastAsia="楷体_GB2312"/>
          <w:sz w:val="32"/>
          <w:szCs w:val="32"/>
        </w:rPr>
        <w:t>填报单位（盖章）：                     时间：</w:t>
      </w:r>
      <w:r>
        <w:rPr>
          <w:rFonts w:hint="eastAsia" w:eastAsia="楷体_GB2312"/>
          <w:sz w:val="32"/>
          <w:szCs w:val="32"/>
          <w:lang w:val="en-US" w:eastAsia="zh-CN"/>
        </w:rPr>
        <w:t>12</w:t>
      </w:r>
      <w:r>
        <w:rPr>
          <w:rFonts w:hint="eastAsia" w:eastAsia="楷体_GB2312"/>
          <w:sz w:val="32"/>
          <w:szCs w:val="32"/>
        </w:rPr>
        <w:t>月</w:t>
      </w:r>
      <w:r>
        <w:rPr>
          <w:rFonts w:hint="eastAsia" w:eastAsia="楷体_GB2312"/>
          <w:sz w:val="32"/>
          <w:szCs w:val="32"/>
          <w:lang w:val="en-US" w:eastAsia="zh-CN"/>
        </w:rPr>
        <w:t>29</w:t>
      </w:r>
      <w:r>
        <w:rPr>
          <w:rFonts w:hint="eastAsia" w:eastAsia="楷体_GB2312"/>
          <w:sz w:val="32"/>
          <w:szCs w:val="32"/>
        </w:rPr>
        <w:t>日</w:t>
      </w:r>
    </w:p>
    <w:tbl>
      <w:tblPr>
        <w:tblStyle w:val="10"/>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3915"/>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1543" w:type="dxa"/>
            <w:noWrap w:val="0"/>
            <w:vAlign w:val="center"/>
          </w:tcPr>
          <w:p>
            <w:pPr>
              <w:widowControl/>
              <w:adjustRightInd w:val="0"/>
              <w:snapToGrid w:val="0"/>
              <w:spacing w:line="560" w:lineRule="exact"/>
              <w:jc w:val="center"/>
              <w:rPr>
                <w:rFonts w:eastAsia="楷体_GB2312"/>
                <w:color w:val="auto"/>
                <w:kern w:val="0"/>
                <w:sz w:val="28"/>
                <w:szCs w:val="28"/>
              </w:rPr>
            </w:pPr>
            <w:r>
              <w:rPr>
                <w:rFonts w:hint="eastAsia" w:eastAsia="楷体_GB2312"/>
                <w:color w:val="auto"/>
                <w:kern w:val="0"/>
                <w:sz w:val="28"/>
                <w:szCs w:val="28"/>
              </w:rPr>
              <w:t>整改任务</w:t>
            </w:r>
          </w:p>
        </w:tc>
        <w:tc>
          <w:tcPr>
            <w:tcW w:w="779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4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OCs管控和扬尘治理不到位。督察发现，部分石化行业未按照要求开展泄漏检测和修复工作。扬尘治理亟待加强，吉林市、白城市城市道路机械化清扫率分别为45.6%、53%，未达到国家规定的70%目标要求。抽查发现，长春、延边等市州多处建筑施工工地扬尘治理有欠缺，污染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543" w:type="dxa"/>
            <w:noWrap w:val="0"/>
            <w:vAlign w:val="center"/>
          </w:tcPr>
          <w:p>
            <w:pPr>
              <w:widowControl/>
              <w:adjustRightInd w:val="0"/>
              <w:snapToGrid w:val="0"/>
              <w:spacing w:line="560" w:lineRule="exact"/>
              <w:jc w:val="center"/>
              <w:rPr>
                <w:rFonts w:eastAsia="楷体_GB2312"/>
                <w:color w:val="auto"/>
                <w:kern w:val="0"/>
                <w:sz w:val="28"/>
                <w:szCs w:val="28"/>
              </w:rPr>
            </w:pPr>
            <w:r>
              <w:rPr>
                <w:rFonts w:hint="eastAsia" w:eastAsia="楷体_GB2312"/>
                <w:color w:val="auto"/>
                <w:kern w:val="0"/>
                <w:sz w:val="28"/>
                <w:szCs w:val="28"/>
              </w:rPr>
              <w:t>整改目标</w:t>
            </w:r>
          </w:p>
        </w:tc>
        <w:tc>
          <w:tcPr>
            <w:tcW w:w="779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VOCs管控和扬尘治理不到位问题基本得到解决。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43" w:type="dxa"/>
            <w:vMerge w:val="restart"/>
            <w:noWrap w:val="0"/>
            <w:vAlign w:val="center"/>
          </w:tcPr>
          <w:p>
            <w:pPr>
              <w:widowControl/>
              <w:adjustRightInd w:val="0"/>
              <w:snapToGrid w:val="0"/>
              <w:spacing w:line="560" w:lineRule="exact"/>
              <w:jc w:val="center"/>
              <w:rPr>
                <w:rFonts w:eastAsia="楷体_GB2312"/>
                <w:color w:val="auto"/>
                <w:kern w:val="0"/>
                <w:sz w:val="28"/>
                <w:szCs w:val="28"/>
              </w:rPr>
            </w:pPr>
            <w:r>
              <w:rPr>
                <w:rFonts w:hint="eastAsia" w:eastAsia="楷体_GB2312"/>
                <w:color w:val="auto"/>
                <w:kern w:val="0"/>
                <w:sz w:val="28"/>
                <w:szCs w:val="28"/>
              </w:rPr>
              <w:t>整改措施</w:t>
            </w:r>
          </w:p>
        </w:tc>
        <w:tc>
          <w:tcPr>
            <w:tcW w:w="3915" w:type="dxa"/>
            <w:noWrap w:val="0"/>
            <w:vAlign w:val="center"/>
          </w:tcPr>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0" w:firstLineChars="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lang w:val="en-US" w:eastAsia="zh-CN"/>
              </w:rPr>
              <w:t>省措施</w:t>
            </w:r>
          </w:p>
        </w:tc>
        <w:tc>
          <w:tcPr>
            <w:tcW w:w="3884" w:type="dxa"/>
            <w:noWrap w:val="0"/>
            <w:vAlign w:val="center"/>
          </w:tcPr>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吉林市对应措施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jc w:val="center"/>
        </w:trPr>
        <w:tc>
          <w:tcPr>
            <w:tcW w:w="1543" w:type="dxa"/>
            <w:vMerge w:val="continue"/>
            <w:noWrap w:val="0"/>
            <w:vAlign w:val="center"/>
          </w:tcPr>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560" w:lineRule="exact"/>
              <w:ind w:left="0" w:leftChars="0" w:firstLine="0" w:firstLineChars="0"/>
              <w:textAlignment w:val="auto"/>
              <w:rPr>
                <w:color w:val="auto"/>
                <w:sz w:val="28"/>
                <w:szCs w:val="28"/>
              </w:rPr>
            </w:pPr>
          </w:p>
        </w:tc>
        <w:tc>
          <w:tcPr>
            <w:tcW w:w="3915" w:type="dxa"/>
            <w:vMerge w:val="restart"/>
            <w:noWrap w:val="0"/>
            <w:vAlign w:val="center"/>
          </w:tcPr>
          <w:p>
            <w:pPr>
              <w:widowControl w:val="0"/>
              <w:adjustRightInd w:val="0"/>
              <w:snapToGrid w:val="0"/>
              <w:spacing w:beforeLines="0" w:afterLines="0"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（一）2022年6月底前，省生态环境厅组织各地开展石化行业摸底排查，形成问题清单。2023年12月底前，指导各地完成存在突出问题的整改工作。</w:t>
            </w:r>
          </w:p>
          <w:p>
            <w:pPr>
              <w:adjustRightInd w:val="0"/>
              <w:snapToGrid w:val="0"/>
              <w:spacing w:beforeLines="0" w:afterLines="0" w:line="440" w:lineRule="exact"/>
              <w:ind w:firstLine="560" w:firstLineChars="200"/>
              <w:rPr>
                <w:rFonts w:hint="eastAsia" w:ascii="仿宋_GB2312" w:hAnsi="仿宋_GB2312" w:eastAsia="仿宋_GB2312" w:cs="仿宋_GB2312"/>
                <w:color w:val="auto"/>
                <w:sz w:val="28"/>
                <w:szCs w:val="28"/>
              </w:rPr>
            </w:pPr>
          </w:p>
        </w:tc>
        <w:tc>
          <w:tcPr>
            <w:tcW w:w="3884" w:type="dxa"/>
            <w:noWrap w:val="0"/>
            <w:vAlign w:val="center"/>
          </w:tcPr>
          <w:p>
            <w:pPr>
              <w:widowControl w:val="0"/>
              <w:adjustRightInd w:val="0"/>
              <w:snapToGrid w:val="0"/>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 xml:space="preserve">（一）市生态环境局加大对石化行业企业检查力度，2022年6月底前，组织开展石化行业摸底排查，形成问题清单。2023年12月底前，完成存在突出问题的整改工作。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1543" w:type="dxa"/>
            <w:vMerge w:val="continue"/>
            <w:noWrap w:val="0"/>
            <w:vAlign w:val="center"/>
          </w:tcPr>
          <w:p>
            <w:pPr>
              <w:adjustRightInd w:val="0"/>
              <w:snapToGrid w:val="0"/>
              <w:spacing w:line="560" w:lineRule="exact"/>
              <w:ind w:firstLine="420" w:firstLineChars="200"/>
              <w:rPr>
                <w:color w:val="auto"/>
              </w:rPr>
            </w:pPr>
          </w:p>
        </w:tc>
        <w:tc>
          <w:tcPr>
            <w:tcW w:w="3915" w:type="dxa"/>
            <w:vMerge w:val="continue"/>
            <w:noWrap w:val="0"/>
            <w:vAlign w:val="center"/>
          </w:tcPr>
          <w:p>
            <w:pPr>
              <w:adjustRightInd w:val="0"/>
              <w:snapToGrid w:val="0"/>
              <w:spacing w:beforeLines="0" w:afterLines="0" w:line="440" w:lineRule="exact"/>
              <w:ind w:firstLine="560" w:firstLineChars="200"/>
              <w:rPr>
                <w:rFonts w:hint="eastAsia" w:ascii="仿宋_GB2312" w:hAnsi="仿宋_GB2312" w:eastAsia="仿宋_GB2312" w:cs="仿宋_GB2312"/>
                <w:color w:val="auto"/>
                <w:sz w:val="28"/>
                <w:szCs w:val="28"/>
              </w:rPr>
            </w:pPr>
          </w:p>
        </w:tc>
        <w:tc>
          <w:tcPr>
            <w:tcW w:w="3884" w:type="dxa"/>
            <w:noWrap w:val="0"/>
            <w:vAlign w:val="center"/>
          </w:tcPr>
          <w:p>
            <w:pPr>
              <w:adjustRightInd w:val="0"/>
              <w:snapToGrid w:val="0"/>
              <w:spacing w:beforeLines="0" w:afterLines="0"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（二）市生态环境局按照省生态环境厅有关工作要求和吉林市VOC排放企业监管名录，加强对VOC排放企业的监督管理，符合条件的企业完成自动监控设施联网验收。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1543" w:type="dxa"/>
            <w:vMerge w:val="continue"/>
            <w:noWrap w:val="0"/>
            <w:vAlign w:val="center"/>
          </w:tcPr>
          <w:p>
            <w:pPr>
              <w:adjustRightInd w:val="0"/>
              <w:snapToGrid w:val="0"/>
              <w:spacing w:line="560" w:lineRule="exact"/>
              <w:ind w:firstLine="560" w:firstLineChars="200"/>
              <w:rPr>
                <w:rFonts w:hint="eastAsia" w:ascii="仿宋_GB2312" w:hAnsi="仿宋_GB2312" w:eastAsia="仿宋_GB2312" w:cs="仿宋_GB2312"/>
                <w:color w:val="auto"/>
                <w:sz w:val="28"/>
                <w:szCs w:val="28"/>
                <w:lang w:eastAsia="zh-CN"/>
              </w:rPr>
            </w:pPr>
          </w:p>
        </w:tc>
        <w:tc>
          <w:tcPr>
            <w:tcW w:w="3915" w:type="dxa"/>
            <w:vMerge w:val="continue"/>
            <w:noWrap w:val="0"/>
            <w:vAlign w:val="center"/>
          </w:tcPr>
          <w:p>
            <w:pPr>
              <w:adjustRightInd w:val="0"/>
              <w:snapToGrid w:val="0"/>
              <w:spacing w:beforeLines="0" w:afterLines="0" w:line="440" w:lineRule="exact"/>
              <w:ind w:firstLine="560" w:firstLineChars="200"/>
              <w:rPr>
                <w:rFonts w:hint="eastAsia" w:ascii="仿宋_GB2312" w:hAnsi="仿宋_GB2312" w:eastAsia="仿宋_GB2312" w:cs="仿宋_GB2312"/>
                <w:color w:val="auto"/>
                <w:sz w:val="28"/>
                <w:szCs w:val="28"/>
                <w:lang w:eastAsia="zh-CN"/>
              </w:rPr>
            </w:pPr>
          </w:p>
        </w:tc>
        <w:tc>
          <w:tcPr>
            <w:tcW w:w="3884" w:type="dxa"/>
            <w:noWrap w:val="0"/>
            <w:vAlign w:val="center"/>
          </w:tcPr>
          <w:p>
            <w:pPr>
              <w:adjustRightInd w:val="0"/>
              <w:snapToGrid w:val="0"/>
              <w:spacing w:beforeLines="0" w:afterLines="0"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（三）市生态环境局对化工企业设备和工艺废气密闭收集处理等环节加强监管，着力提升泄漏检测与修复质量，推动企业开展和完善泄漏检测与修复（LDAR）工作，建立统一的LDAR信息管理平台。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jc w:val="center"/>
        </w:trPr>
        <w:tc>
          <w:tcPr>
            <w:tcW w:w="1543" w:type="dxa"/>
            <w:vMerge w:val="continue"/>
            <w:noWrap w:val="0"/>
            <w:vAlign w:val="center"/>
          </w:tcPr>
          <w:p>
            <w:pPr>
              <w:adjustRightInd w:val="0"/>
              <w:snapToGrid w:val="0"/>
              <w:spacing w:line="560" w:lineRule="exact"/>
              <w:ind w:firstLine="560" w:firstLineChars="200"/>
              <w:rPr>
                <w:rFonts w:hint="eastAsia" w:ascii="仿宋_GB2312" w:hAnsi="仿宋_GB2312" w:eastAsia="仿宋_GB2312" w:cs="仿宋_GB2312"/>
                <w:color w:val="auto"/>
                <w:sz w:val="28"/>
                <w:szCs w:val="28"/>
                <w:lang w:eastAsia="zh-CN"/>
              </w:rPr>
            </w:pPr>
          </w:p>
        </w:tc>
        <w:tc>
          <w:tcPr>
            <w:tcW w:w="3915" w:type="dxa"/>
            <w:vMerge w:val="restart"/>
            <w:noWrap w:val="0"/>
            <w:vAlign w:val="center"/>
          </w:tcPr>
          <w:p>
            <w:pPr>
              <w:adjustRightInd w:val="0"/>
              <w:snapToGrid w:val="0"/>
              <w:spacing w:beforeLines="0" w:afterLines="0"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2022年6月底前，吉林市、白城市对城区、各县市对本地区道路清扫率情况进行核算，未达标地区根据实际情况制定整改方案，对符合机械化清扫作业条件的，以及已经达到机械化清扫标准的城市道路，全面实施机械化清扫保洁，提高道路机械化清扫率。2022年12月底前，道路机械化清扫率达到国家规定的70%目标要求。</w:t>
            </w:r>
          </w:p>
        </w:tc>
        <w:tc>
          <w:tcPr>
            <w:tcW w:w="3884" w:type="dxa"/>
            <w:noWrap w:val="0"/>
            <w:vAlign w:val="center"/>
          </w:tcPr>
          <w:p>
            <w:pPr>
              <w:adjustRightInd w:val="0"/>
              <w:snapToGrid w:val="0"/>
              <w:spacing w:beforeLines="0" w:afterLines="0"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2022年6月底前，市执法局对城区、各县市对本地区道路机械化清扫率情况进一步核算，未达标地区根据实际情况制定整改方案，加大资金投入，采买机械设备，提高道路机械化清扫率，确保2022年12月底前达到目标要求。建立常态化保洁制度，增加机械化清扫频次，高标准做好主次干道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1543" w:type="dxa"/>
            <w:vMerge w:val="continue"/>
            <w:noWrap w:val="0"/>
            <w:vAlign w:val="center"/>
          </w:tcPr>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color w:val="auto"/>
              </w:rPr>
            </w:pPr>
          </w:p>
        </w:tc>
        <w:tc>
          <w:tcPr>
            <w:tcW w:w="3915" w:type="dxa"/>
            <w:vMerge w:val="restart"/>
            <w:tcBorders>
              <w:bottom w:val="single" w:color="auto" w:sz="4" w:space="0"/>
            </w:tcBorders>
            <w:noWrap w:val="0"/>
            <w:vAlign w:val="center"/>
          </w:tcPr>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560" w:firstLineChars="200"/>
              <w:textAlignment w:val="auto"/>
              <w:rPr>
                <w:rFonts w:hint="eastAsia" w:ascii="仿宋_GB2312" w:hAnsi="仿宋_GB2312" w:eastAsia="仿宋_GB2312" w:cs="仿宋_GB2312"/>
                <w:color w:val="auto"/>
                <w:sz w:val="28"/>
                <w:szCs w:val="28"/>
              </w:rPr>
            </w:pPr>
          </w:p>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四）2022年6月底前，省住建厅指导督促各地对辖区内建筑施工工地（房屋建筑工程和市政基础设施工程）进行自查，制定整改方案。重点对长春市、延边州两地整改工作进展情况进行督促指导。结合吉林省气候特点，在工地开工后，建立月调度制度，发现问题立行立改，推动整改工作落实，开展全省建筑施工工地（房屋建筑工程和市政基础设施工程）扬尘治理工作情况督导检查，建筑施工扬尘管控有明显改观提升。</w:t>
            </w:r>
          </w:p>
        </w:tc>
        <w:tc>
          <w:tcPr>
            <w:tcW w:w="3884" w:type="dxa"/>
            <w:tcBorders>
              <w:bottom w:val="single" w:color="auto" w:sz="4" w:space="0"/>
            </w:tcBorders>
            <w:noWrap w:val="0"/>
            <w:vAlign w:val="center"/>
          </w:tcPr>
          <w:p>
            <w:pPr>
              <w:adjustRightInd w:val="0"/>
              <w:snapToGrid w:val="0"/>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（五）市住建局结合安全生产文明施工标准化考核工作，将建筑工地扬尘治理作为现场文明施工管理的一项重要内容，贯穿施工监管全过程。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5" w:hRule="atLeast"/>
          <w:jc w:val="center"/>
        </w:trPr>
        <w:tc>
          <w:tcPr>
            <w:tcW w:w="1543" w:type="dxa"/>
            <w:vMerge w:val="continue"/>
            <w:noWrap w:val="0"/>
            <w:vAlign w:val="center"/>
          </w:tcPr>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640" w:firstLineChars="200"/>
              <w:textAlignment w:val="auto"/>
              <w:rPr>
                <w:color w:val="auto"/>
              </w:rPr>
            </w:pPr>
          </w:p>
        </w:tc>
        <w:tc>
          <w:tcPr>
            <w:tcW w:w="3915" w:type="dxa"/>
            <w:vMerge w:val="continue"/>
            <w:tcBorders>
              <w:bottom w:val="single" w:color="auto" w:sz="4" w:space="0"/>
            </w:tcBorders>
            <w:noWrap w:val="0"/>
            <w:vAlign w:val="center"/>
          </w:tcPr>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560" w:firstLineChars="200"/>
              <w:jc w:val="both"/>
              <w:textAlignment w:val="auto"/>
              <w:rPr>
                <w:rFonts w:hint="eastAsia" w:ascii="仿宋_GB2312" w:hAnsi="仿宋_GB2312" w:eastAsia="仿宋_GB2312" w:cs="仿宋_GB2312"/>
                <w:color w:val="auto"/>
                <w:sz w:val="28"/>
                <w:szCs w:val="28"/>
                <w:lang w:eastAsia="zh-CN"/>
              </w:rPr>
            </w:pPr>
          </w:p>
        </w:tc>
        <w:tc>
          <w:tcPr>
            <w:tcW w:w="3884" w:type="dxa"/>
            <w:tcBorders>
              <w:bottom w:val="single" w:color="auto" w:sz="4" w:space="0"/>
            </w:tcBorders>
            <w:noWrap w:val="0"/>
            <w:vAlign w:val="center"/>
          </w:tcPr>
          <w:p>
            <w:pPr>
              <w:pStyle w:val="3"/>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六）市住建局、各县（市）区建设行政主管部门依管辖范围，按照《吉林市建筑施工扬尘专项治理工作方案》要求，持续开展建筑施工扬尘综合治理，严格实施建筑施工标准化管理，督促落实施工现场周边围挡、进出车辆冲洗、裸露场地和堆放物料覆盖等防治措施，加强监管、严格审查，扬尘治理措施不达标坚决不准许开（复）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15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560" w:lineRule="exact"/>
              <w:jc w:val="center"/>
              <w:rPr>
                <w:rFonts w:hint="eastAsia" w:eastAsia="楷体_GB2312"/>
                <w:b w:val="0"/>
                <w:bCs w:val="0"/>
                <w:color w:val="auto"/>
                <w:kern w:val="0"/>
                <w:sz w:val="28"/>
                <w:szCs w:val="28"/>
              </w:rPr>
            </w:pPr>
            <w:r>
              <w:rPr>
                <w:rFonts w:hint="eastAsia" w:eastAsia="楷体_GB2312"/>
                <w:b w:val="0"/>
                <w:bCs w:val="0"/>
                <w:color w:val="auto"/>
                <w:kern w:val="0"/>
                <w:sz w:val="28"/>
                <w:szCs w:val="28"/>
              </w:rPr>
              <w:t>整改</w:t>
            </w:r>
          </w:p>
          <w:p>
            <w:pPr>
              <w:widowControl/>
              <w:adjustRightInd w:val="0"/>
              <w:snapToGrid w:val="0"/>
              <w:spacing w:beforeLines="0" w:afterLines="0" w:line="560" w:lineRule="exact"/>
              <w:jc w:val="center"/>
              <w:rPr>
                <w:rFonts w:hint="eastAsia" w:eastAsia="楷体_GB2312"/>
                <w:b w:val="0"/>
                <w:bCs w:val="0"/>
                <w:color w:val="auto"/>
                <w:kern w:val="0"/>
                <w:sz w:val="28"/>
                <w:szCs w:val="28"/>
              </w:rPr>
            </w:pPr>
            <w:r>
              <w:rPr>
                <w:rFonts w:hint="eastAsia" w:eastAsia="楷体_GB2312"/>
                <w:b w:val="0"/>
                <w:bCs w:val="0"/>
                <w:color w:val="auto"/>
                <w:kern w:val="0"/>
                <w:sz w:val="28"/>
                <w:szCs w:val="28"/>
              </w:rPr>
              <w:t>完成</w:t>
            </w:r>
          </w:p>
          <w:p>
            <w:pPr>
              <w:widowControl/>
              <w:adjustRightInd w:val="0"/>
              <w:snapToGrid w:val="0"/>
              <w:spacing w:beforeLines="0" w:afterLines="0" w:line="560" w:lineRule="exact"/>
              <w:jc w:val="center"/>
              <w:rPr>
                <w:rFonts w:eastAsia="楷体_GB2312"/>
                <w:b w:val="0"/>
                <w:bCs w:val="0"/>
                <w:color w:val="auto"/>
                <w:kern w:val="0"/>
                <w:sz w:val="28"/>
                <w:szCs w:val="28"/>
              </w:rPr>
            </w:pPr>
            <w:r>
              <w:rPr>
                <w:rFonts w:hint="eastAsia" w:eastAsia="楷体_GB2312"/>
                <w:b w:val="0"/>
                <w:bCs w:val="0"/>
                <w:color w:val="auto"/>
                <w:kern w:val="0"/>
                <w:sz w:val="28"/>
                <w:szCs w:val="28"/>
              </w:rPr>
              <w:t>情况</w:t>
            </w:r>
          </w:p>
        </w:tc>
        <w:tc>
          <w:tcPr>
            <w:tcW w:w="7799"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val="0"/>
              <w:numPr>
                <w:ilvl w:val="0"/>
                <w:numId w:val="0"/>
              </w:numPr>
              <w:adjustRightInd w:val="0"/>
              <w:snapToGrid w:val="0"/>
              <w:spacing w:beforeLines="0" w:afterLines="0" w:line="440" w:lineRule="exact"/>
              <w:ind w:firstLine="560" w:firstLineChars="200"/>
              <w:rPr>
                <w:rFonts w:hint="eastAsia" w:ascii="仿宋_GB2312" w:hAnsi="仿宋_GB2312" w:cs="仿宋_GB2312"/>
                <w:color w:val="auto"/>
                <w:kern w:val="0"/>
                <w:sz w:val="28"/>
                <w:szCs w:val="28"/>
                <w:lang w:val="en-US" w:eastAsia="zh-CN"/>
              </w:rPr>
            </w:pPr>
            <w:r>
              <w:rPr>
                <w:rFonts w:hint="eastAsia" w:ascii="仿宋_GB2312" w:hAnsi="仿宋_GB2312" w:cs="仿宋_GB2312"/>
                <w:color w:val="auto"/>
                <w:kern w:val="0"/>
                <w:sz w:val="28"/>
                <w:szCs w:val="28"/>
                <w:lang w:val="en-US" w:eastAsia="zh-CN"/>
              </w:rPr>
              <w:t>（一）市生态环境局印发《关于对重点时段挥发性有机物开展专项执法检查的通知》，对全市石化行业企业挥发性有机物治理工作情况开展排查，建立了清单台账，实施清单化管理。经排查发现问题9个，现已全部整改完成。</w:t>
            </w:r>
          </w:p>
          <w:p>
            <w:pPr>
              <w:pStyle w:val="2"/>
              <w:widowControl w:val="0"/>
              <w:numPr>
                <w:ilvl w:val="0"/>
                <w:numId w:val="0"/>
              </w:numPr>
              <w:adjustRightInd w:val="0"/>
              <w:snapToGrid w:val="0"/>
              <w:spacing w:beforeLines="0" w:afterLines="0" w:line="440" w:lineRule="exact"/>
              <w:ind w:firstLine="560" w:firstLineChars="200"/>
              <w:rPr>
                <w:rFonts w:hint="eastAsia" w:ascii="仿宋_GB2312" w:hAnsi="仿宋_GB2312" w:cs="仿宋_GB2312"/>
                <w:color w:val="auto"/>
                <w:kern w:val="0"/>
                <w:sz w:val="28"/>
                <w:szCs w:val="28"/>
                <w:lang w:val="en-US" w:eastAsia="zh-CN"/>
              </w:rPr>
            </w:pPr>
            <w:r>
              <w:rPr>
                <w:rFonts w:hint="eastAsia" w:ascii="仿宋_GB2312" w:hAnsi="仿宋_GB2312" w:cs="仿宋_GB2312"/>
                <w:color w:val="auto"/>
                <w:kern w:val="0"/>
                <w:sz w:val="28"/>
                <w:szCs w:val="28"/>
                <w:lang w:val="en-US" w:eastAsia="zh-CN"/>
              </w:rPr>
              <w:t>（二）按照《关于固定污染源废气挥发性有机物排污单位名录的报告》（吉市环请〔2018〕38号），吉林市VOC排污单位共涉及30家。其中，无需安装自动监控设施的企业有12家，其余18家企业中，13家已完成安装，4家处于长期停产（奥克新材料、三鼎化工、众鑫化工，吉神化工）待复产后安装；1家（星云化工）未建成，待企业建成后安装使用。</w:t>
            </w:r>
          </w:p>
          <w:p>
            <w:pPr>
              <w:pStyle w:val="2"/>
              <w:widowControl w:val="0"/>
              <w:numPr>
                <w:ilvl w:val="0"/>
                <w:numId w:val="0"/>
              </w:numPr>
              <w:adjustRightInd w:val="0"/>
              <w:snapToGrid w:val="0"/>
              <w:spacing w:beforeLines="0" w:afterLines="0" w:line="440" w:lineRule="exact"/>
              <w:ind w:firstLine="560" w:firstLineChars="200"/>
              <w:rPr>
                <w:rFonts w:hint="eastAsia" w:ascii="仿宋_GB2312" w:hAnsi="仿宋_GB2312" w:cs="仿宋_GB2312"/>
                <w:color w:val="auto"/>
                <w:kern w:val="0"/>
                <w:sz w:val="28"/>
                <w:szCs w:val="28"/>
                <w:lang w:val="en-US" w:eastAsia="zh-CN"/>
              </w:rPr>
            </w:pPr>
            <w:r>
              <w:rPr>
                <w:rFonts w:hint="eastAsia" w:ascii="仿宋_GB2312" w:hAnsi="仿宋_GB2312" w:cs="仿宋_GB2312"/>
                <w:color w:val="auto"/>
                <w:kern w:val="0"/>
                <w:sz w:val="28"/>
                <w:szCs w:val="28"/>
                <w:lang w:val="en-US" w:eastAsia="zh-CN"/>
              </w:rPr>
              <w:t>（三）市生态环境局对化工行业企业加大监管力度，督促企业开展泄露监测与修复排查工作，督促28家企业完成了泄漏检测与修复（LDAR）。中国石油天然气股份有限公司建立了</w:t>
            </w:r>
            <w:r>
              <w:rPr>
                <w:rFonts w:hint="eastAsia" w:ascii="仿宋_GB2312" w:hAnsi="仿宋_GB2312" w:eastAsia="仿宋_GB2312" w:cs="仿宋_GB2312"/>
                <w:color w:val="auto"/>
                <w:sz w:val="28"/>
                <w:szCs w:val="28"/>
                <w:lang w:eastAsia="zh-CN"/>
              </w:rPr>
              <w:t>LDAR信息管理平台</w:t>
            </w:r>
            <w:r>
              <w:rPr>
                <w:rFonts w:hint="eastAsia" w:ascii="仿宋_GB2312" w:hAnsi="仿宋_GB2312" w:cs="仿宋_GB2312"/>
                <w:color w:val="auto"/>
                <w:sz w:val="28"/>
                <w:szCs w:val="28"/>
                <w:lang w:eastAsia="zh-CN"/>
              </w:rPr>
              <w:t>，</w:t>
            </w:r>
            <w:r>
              <w:rPr>
                <w:rFonts w:hint="eastAsia" w:ascii="仿宋_GB2312" w:hAnsi="仿宋_GB2312" w:cs="仿宋_GB2312"/>
                <w:color w:val="auto"/>
                <w:sz w:val="28"/>
                <w:szCs w:val="28"/>
                <w:lang w:val="en-US" w:eastAsia="zh-CN"/>
              </w:rPr>
              <w:t>中油</w:t>
            </w:r>
            <w:r>
              <w:rPr>
                <w:rFonts w:hint="eastAsia" w:ascii="仿宋_GB2312" w:hAnsi="仿宋_GB2312" w:cs="仿宋_GB2312"/>
                <w:color w:val="auto"/>
                <w:kern w:val="0"/>
                <w:sz w:val="28"/>
                <w:szCs w:val="28"/>
                <w:lang w:val="en-US" w:eastAsia="zh-CN"/>
              </w:rPr>
              <w:t>吉林石化分公司按要求进行检测并上传数据。</w:t>
            </w:r>
          </w:p>
          <w:p>
            <w:pPr>
              <w:pStyle w:val="2"/>
              <w:widowControl w:val="0"/>
              <w:numPr>
                <w:ilvl w:val="0"/>
                <w:numId w:val="0"/>
              </w:numPr>
              <w:adjustRightInd w:val="0"/>
              <w:snapToGrid w:val="0"/>
              <w:spacing w:beforeLines="0" w:afterLines="0" w:line="44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bidi="ar"/>
              </w:rPr>
              <w:t>（四）市执法局对城区道路机械化清扫率情况进一步核算，</w:t>
            </w:r>
            <w:r>
              <w:rPr>
                <w:rFonts w:hint="eastAsia" w:ascii="仿宋_GB2312" w:hAnsi="仿宋_GB2312" w:eastAsia="仿宋_GB2312" w:cs="仿宋_GB2312"/>
                <w:color w:val="auto"/>
                <w:kern w:val="0"/>
                <w:sz w:val="28"/>
                <w:szCs w:val="28"/>
              </w:rPr>
              <w:t>吉林市城市道路共计388条，总面积约为2182万平米，经测算吉林市道路机械化清扫率已经达标。永吉县</w:t>
            </w:r>
            <w:r>
              <w:rPr>
                <w:rFonts w:hint="eastAsia" w:ascii="仿宋_GB2312" w:hAnsi="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舒兰市、磐石市、蛟河市、桦甸市城区主次干道机械化清扫率</w:t>
            </w:r>
            <w:r>
              <w:rPr>
                <w:rFonts w:hint="eastAsia" w:ascii="仿宋_GB2312" w:hAnsi="仿宋_GB2312" w:cs="仿宋_GB2312"/>
                <w:color w:val="auto"/>
                <w:kern w:val="0"/>
                <w:sz w:val="28"/>
                <w:szCs w:val="28"/>
                <w:lang w:val="en-US" w:eastAsia="zh-CN"/>
              </w:rPr>
              <w:t>均已</w:t>
            </w:r>
            <w:r>
              <w:rPr>
                <w:rFonts w:hint="eastAsia" w:ascii="仿宋_GB2312" w:hAnsi="仿宋_GB2312" w:eastAsia="仿宋_GB2312" w:cs="仿宋_GB2312"/>
                <w:color w:val="auto"/>
                <w:kern w:val="0"/>
                <w:sz w:val="28"/>
                <w:szCs w:val="28"/>
              </w:rPr>
              <w:t>达到要求。</w:t>
            </w:r>
          </w:p>
          <w:p>
            <w:pPr>
              <w:pStyle w:val="2"/>
              <w:adjustRightInd w:val="0"/>
              <w:snapToGrid w:val="0"/>
              <w:spacing w:beforeLines="0" w:afterLines="0" w:line="440" w:lineRule="exact"/>
              <w:ind w:firstLine="560" w:firstLineChars="200"/>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w:t>
            </w:r>
            <w:r>
              <w:rPr>
                <w:rFonts w:hint="eastAsia" w:ascii="仿宋_GB2312" w:hAnsi="仿宋_GB2312" w:cs="仿宋_GB2312"/>
                <w:b w:val="0"/>
                <w:bCs w:val="0"/>
                <w:color w:val="auto"/>
                <w:kern w:val="0"/>
                <w:sz w:val="28"/>
                <w:szCs w:val="28"/>
                <w:lang w:val="en-US" w:eastAsia="zh-CN" w:bidi="ar"/>
              </w:rPr>
              <w:t>五</w:t>
            </w:r>
            <w:r>
              <w:rPr>
                <w:rFonts w:hint="eastAsia" w:ascii="仿宋_GB2312" w:hAnsi="仿宋_GB2312" w:eastAsia="仿宋_GB2312" w:cs="仿宋_GB2312"/>
                <w:b w:val="0"/>
                <w:bCs w:val="0"/>
                <w:color w:val="auto"/>
                <w:kern w:val="0"/>
                <w:sz w:val="28"/>
                <w:szCs w:val="28"/>
                <w:lang w:val="en-US" w:eastAsia="zh-CN" w:bidi="ar"/>
              </w:rPr>
              <w:t>）市住建局</w:t>
            </w:r>
            <w:r>
              <w:rPr>
                <w:rFonts w:hint="eastAsia" w:ascii="仿宋_GB2312" w:hAnsi="仿宋_GB2312" w:cs="仿宋_GB2312"/>
                <w:b w:val="0"/>
                <w:bCs w:val="0"/>
                <w:color w:val="auto"/>
                <w:kern w:val="0"/>
                <w:sz w:val="28"/>
                <w:szCs w:val="28"/>
                <w:lang w:val="en-US" w:eastAsia="zh-CN" w:bidi="ar"/>
              </w:rPr>
              <w:t>印发了</w:t>
            </w:r>
            <w:r>
              <w:rPr>
                <w:rFonts w:hint="eastAsia" w:ascii="仿宋_GB2312" w:hAnsi="仿宋_GB2312" w:eastAsia="仿宋_GB2312" w:cs="仿宋_GB2312"/>
                <w:b w:val="0"/>
                <w:bCs w:val="0"/>
                <w:color w:val="auto"/>
                <w:kern w:val="0"/>
                <w:sz w:val="28"/>
                <w:szCs w:val="28"/>
                <w:lang w:val="en-US" w:eastAsia="zh-CN" w:bidi="ar"/>
              </w:rPr>
              <w:t>《关于开展2023年建筑市场和房屋市政工程质量安全暨房屋市政建筑工程施工标准化管理联合检查的通知》，建立</w:t>
            </w:r>
            <w:r>
              <w:rPr>
                <w:rFonts w:hint="eastAsia" w:ascii="仿宋_GB2312" w:hAnsi="仿宋_GB2312" w:cs="仿宋_GB2312"/>
                <w:b w:val="0"/>
                <w:bCs w:val="0"/>
                <w:color w:val="auto"/>
                <w:kern w:val="0"/>
                <w:sz w:val="28"/>
                <w:szCs w:val="28"/>
                <w:lang w:val="en-US" w:eastAsia="zh-CN" w:bidi="ar"/>
              </w:rPr>
              <w:t>了</w:t>
            </w:r>
            <w:r>
              <w:rPr>
                <w:rFonts w:hint="eastAsia" w:ascii="仿宋_GB2312" w:hAnsi="仿宋_GB2312" w:eastAsia="仿宋_GB2312" w:cs="仿宋_GB2312"/>
                <w:b w:val="0"/>
                <w:bCs w:val="0"/>
                <w:color w:val="auto"/>
                <w:kern w:val="0"/>
                <w:sz w:val="28"/>
                <w:szCs w:val="28"/>
                <w:lang w:val="en-US" w:eastAsia="zh-CN" w:bidi="ar"/>
              </w:rPr>
              <w:t>联动工作机制，从质量管理、文明施工管理、安全管理、项目管理四个方面进行考核打分，成绩作为年度施工标准化考核、市标准化管理示范工地评比和省级标准化示范工地推荐的依据。</w:t>
            </w:r>
            <w:r>
              <w:rPr>
                <w:rFonts w:hint="eastAsia" w:ascii="仿宋_GB2312" w:hAnsi="仿宋_GB2312" w:eastAsia="仿宋_GB2312" w:cs="仿宋_GB2312"/>
                <w:color w:val="auto"/>
                <w:sz w:val="28"/>
                <w:szCs w:val="28"/>
                <w:lang w:eastAsia="zh-CN"/>
              </w:rPr>
              <w:t>将建筑工地扬尘治理作为现场文明施工管理的一项重要内容，贯穿施工监管全过程。</w:t>
            </w:r>
          </w:p>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Lines="0" w:afterLines="0" w:line="440" w:lineRule="exact"/>
              <w:ind w:left="0" w:leftChars="0" w:firstLine="560" w:firstLineChars="200"/>
              <w:textAlignment w:val="auto"/>
              <w:rPr>
                <w:rFonts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val="en-US" w:eastAsia="zh-CN" w:bidi="ar"/>
              </w:rPr>
              <w:t>（</w:t>
            </w:r>
            <w:r>
              <w:rPr>
                <w:rFonts w:hint="eastAsia" w:ascii="仿宋_GB2312" w:hAnsi="仿宋_GB2312" w:cs="仿宋_GB2312"/>
                <w:b w:val="0"/>
                <w:bCs w:val="0"/>
                <w:color w:val="auto"/>
                <w:kern w:val="0"/>
                <w:sz w:val="28"/>
                <w:szCs w:val="28"/>
                <w:lang w:val="en-US" w:eastAsia="zh-CN" w:bidi="ar"/>
              </w:rPr>
              <w:t>六</w:t>
            </w:r>
            <w:r>
              <w:rPr>
                <w:rFonts w:hint="eastAsia" w:ascii="仿宋_GB2312" w:hAnsi="仿宋_GB2312" w:eastAsia="仿宋_GB2312" w:cs="仿宋_GB2312"/>
                <w:b w:val="0"/>
                <w:bCs w:val="0"/>
                <w:color w:val="auto"/>
                <w:kern w:val="0"/>
                <w:sz w:val="28"/>
                <w:szCs w:val="28"/>
                <w:lang w:val="en-US" w:eastAsia="zh-CN" w:bidi="ar"/>
              </w:rPr>
              <w:t>）</w:t>
            </w:r>
            <w:r>
              <w:rPr>
                <w:rFonts w:hint="eastAsia" w:ascii="仿宋_GB2312" w:hAnsi="仿宋_GB2312" w:cs="仿宋_GB2312"/>
                <w:b w:val="0"/>
                <w:bCs w:val="0"/>
                <w:color w:val="auto"/>
                <w:kern w:val="0"/>
                <w:sz w:val="28"/>
                <w:szCs w:val="28"/>
                <w:lang w:val="en-US" w:eastAsia="zh-CN" w:bidi="ar"/>
              </w:rPr>
              <w:t>2023年</w:t>
            </w:r>
            <w:r>
              <w:rPr>
                <w:rFonts w:hint="eastAsia" w:ascii="仿宋_GB2312" w:hAnsi="仿宋_GB2312" w:eastAsia="仿宋_GB2312" w:cs="仿宋_GB2312"/>
                <w:b w:val="0"/>
                <w:bCs w:val="0"/>
                <w:color w:val="auto"/>
                <w:kern w:val="0"/>
                <w:sz w:val="28"/>
                <w:szCs w:val="28"/>
                <w:lang w:val="en-US" w:eastAsia="zh-CN" w:bidi="ar"/>
              </w:rPr>
              <w:t>4月</w:t>
            </w:r>
            <w:r>
              <w:rPr>
                <w:rFonts w:hint="eastAsia" w:ascii="仿宋_GB2312" w:hAnsi="仿宋_GB2312" w:cs="仿宋_GB2312"/>
                <w:b w:val="0"/>
                <w:bCs w:val="0"/>
                <w:color w:val="auto"/>
                <w:kern w:val="0"/>
                <w:sz w:val="28"/>
                <w:szCs w:val="28"/>
                <w:lang w:val="en-US" w:eastAsia="zh-CN" w:bidi="ar"/>
              </w:rPr>
              <w:t>，</w:t>
            </w:r>
            <w:r>
              <w:rPr>
                <w:rFonts w:hint="eastAsia" w:ascii="仿宋_GB2312" w:hAnsi="仿宋_GB2312" w:eastAsia="仿宋_GB2312" w:cs="仿宋_GB2312"/>
                <w:b w:val="0"/>
                <w:bCs w:val="0"/>
                <w:color w:val="auto"/>
                <w:kern w:val="0"/>
                <w:sz w:val="28"/>
                <w:szCs w:val="28"/>
                <w:lang w:val="en-US" w:eastAsia="zh-CN" w:bidi="ar"/>
              </w:rPr>
              <w:t>市住建局</w:t>
            </w:r>
            <w:r>
              <w:rPr>
                <w:rFonts w:hint="eastAsia" w:ascii="仿宋_GB2312" w:hAnsi="仿宋_GB2312" w:cs="仿宋_GB2312"/>
                <w:b w:val="0"/>
                <w:bCs w:val="0"/>
                <w:color w:val="auto"/>
                <w:kern w:val="0"/>
                <w:sz w:val="28"/>
                <w:szCs w:val="28"/>
                <w:lang w:val="en-US" w:eastAsia="zh-CN" w:bidi="ar"/>
              </w:rPr>
              <w:t>印发</w:t>
            </w:r>
            <w:r>
              <w:rPr>
                <w:rFonts w:hint="eastAsia" w:ascii="仿宋_GB2312" w:hAnsi="仿宋_GB2312" w:eastAsia="仿宋_GB2312" w:cs="仿宋_GB2312"/>
                <w:b w:val="0"/>
                <w:bCs w:val="0"/>
                <w:color w:val="auto"/>
                <w:kern w:val="0"/>
                <w:sz w:val="28"/>
                <w:szCs w:val="28"/>
                <w:lang w:val="en-US" w:eastAsia="zh-CN" w:bidi="ar"/>
              </w:rPr>
              <w:t>《吉林市2023年建筑工地施工扬尘专项治理工作方案》，按照建筑工地扬尘管控六个百分百要求，督促落实施工现场围挡、进出车辆冲洗、裸露场地和堆放物料苫盖等防治措施，对42个开复工施工项目进行</w:t>
            </w:r>
            <w:r>
              <w:rPr>
                <w:rFonts w:hint="eastAsia" w:ascii="仿宋_GB2312" w:hAnsi="仿宋_GB2312" w:cs="仿宋_GB2312"/>
                <w:b w:val="0"/>
                <w:bCs w:val="0"/>
                <w:color w:val="auto"/>
                <w:kern w:val="0"/>
                <w:sz w:val="28"/>
                <w:szCs w:val="28"/>
                <w:lang w:val="en-US" w:eastAsia="zh-CN" w:bidi="ar"/>
              </w:rPr>
              <w:t>了</w:t>
            </w:r>
            <w:r>
              <w:rPr>
                <w:rFonts w:hint="eastAsia" w:ascii="仿宋_GB2312" w:hAnsi="仿宋_GB2312" w:eastAsia="仿宋_GB2312" w:cs="仿宋_GB2312"/>
                <w:b w:val="0"/>
                <w:bCs w:val="0"/>
                <w:color w:val="auto"/>
                <w:kern w:val="0"/>
                <w:sz w:val="28"/>
                <w:szCs w:val="28"/>
                <w:lang w:val="en-US" w:eastAsia="zh-CN" w:bidi="ar"/>
              </w:rPr>
              <w:t>全面排查整治。实现</w:t>
            </w:r>
            <w:r>
              <w:rPr>
                <w:rFonts w:hint="eastAsia" w:ascii="仿宋_GB2312" w:hAnsi="仿宋_GB2312" w:cs="仿宋_GB2312"/>
                <w:b w:val="0"/>
                <w:bCs w:val="0"/>
                <w:color w:val="auto"/>
                <w:kern w:val="0"/>
                <w:sz w:val="28"/>
                <w:szCs w:val="28"/>
                <w:lang w:val="en-US" w:eastAsia="zh-CN" w:bidi="ar"/>
              </w:rPr>
              <w:t>了</w:t>
            </w:r>
            <w:r>
              <w:rPr>
                <w:rFonts w:hint="eastAsia" w:ascii="仿宋_GB2312" w:hAnsi="仿宋_GB2312" w:eastAsia="仿宋_GB2312" w:cs="仿宋_GB2312"/>
                <w:b w:val="0"/>
                <w:bCs w:val="0"/>
                <w:color w:val="auto"/>
                <w:kern w:val="0"/>
                <w:sz w:val="28"/>
                <w:szCs w:val="28"/>
                <w:lang w:val="en-US" w:eastAsia="zh-CN" w:bidi="ar"/>
              </w:rPr>
              <w:t>施工现场扬尘管控制度化、常态化、长效化管理。</w:t>
            </w:r>
          </w:p>
        </w:tc>
      </w:tr>
    </w:tbl>
    <w:p>
      <w:pPr>
        <w:pStyle w:val="2"/>
        <w:numPr>
          <w:ilvl w:val="0"/>
          <w:numId w:val="0"/>
        </w:numPr>
        <w:spacing w:line="560" w:lineRule="exact"/>
        <w:ind w:right="0" w:rightChars="0"/>
        <w:jc w:val="both"/>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Dc5YTU4ZTUwNzc3MTcyZTYyMDAzYzQzMWE1ZWIifQ=="/>
  </w:docVars>
  <w:rsids>
    <w:rsidRoot w:val="31BF65C6"/>
    <w:rsid w:val="017707C3"/>
    <w:rsid w:val="02901031"/>
    <w:rsid w:val="02EB5FC2"/>
    <w:rsid w:val="050746B3"/>
    <w:rsid w:val="051E7C51"/>
    <w:rsid w:val="071224E8"/>
    <w:rsid w:val="0731029D"/>
    <w:rsid w:val="08210C04"/>
    <w:rsid w:val="08452C11"/>
    <w:rsid w:val="094445B2"/>
    <w:rsid w:val="0A7D4A4F"/>
    <w:rsid w:val="0B6A1E50"/>
    <w:rsid w:val="0BB77550"/>
    <w:rsid w:val="0C4A1EDF"/>
    <w:rsid w:val="0C513FC6"/>
    <w:rsid w:val="0CBC248D"/>
    <w:rsid w:val="0D642BE2"/>
    <w:rsid w:val="0DCE08EE"/>
    <w:rsid w:val="0E81769D"/>
    <w:rsid w:val="0F3A4982"/>
    <w:rsid w:val="10755FA9"/>
    <w:rsid w:val="117629D8"/>
    <w:rsid w:val="11927BDB"/>
    <w:rsid w:val="12AE37FC"/>
    <w:rsid w:val="14A71963"/>
    <w:rsid w:val="14C84B74"/>
    <w:rsid w:val="155A7034"/>
    <w:rsid w:val="1A274EAD"/>
    <w:rsid w:val="1ADB1426"/>
    <w:rsid w:val="1E2058BB"/>
    <w:rsid w:val="1E44018A"/>
    <w:rsid w:val="2052286C"/>
    <w:rsid w:val="21343A7D"/>
    <w:rsid w:val="23074255"/>
    <w:rsid w:val="24102D10"/>
    <w:rsid w:val="245F6D04"/>
    <w:rsid w:val="24B85D28"/>
    <w:rsid w:val="252519A7"/>
    <w:rsid w:val="257E6961"/>
    <w:rsid w:val="26C57119"/>
    <w:rsid w:val="26D42FC1"/>
    <w:rsid w:val="28094EEC"/>
    <w:rsid w:val="29954A9B"/>
    <w:rsid w:val="2A5F0B22"/>
    <w:rsid w:val="2A635605"/>
    <w:rsid w:val="2BE25C0F"/>
    <w:rsid w:val="2CCD5FB7"/>
    <w:rsid w:val="2CDA5674"/>
    <w:rsid w:val="2CF57A70"/>
    <w:rsid w:val="2FC97777"/>
    <w:rsid w:val="30426514"/>
    <w:rsid w:val="315E083C"/>
    <w:rsid w:val="31BF65C6"/>
    <w:rsid w:val="31FE335B"/>
    <w:rsid w:val="32E116F1"/>
    <w:rsid w:val="34FA43AA"/>
    <w:rsid w:val="35165C89"/>
    <w:rsid w:val="36046177"/>
    <w:rsid w:val="3693090D"/>
    <w:rsid w:val="387C703E"/>
    <w:rsid w:val="38B96ED5"/>
    <w:rsid w:val="38D155B2"/>
    <w:rsid w:val="38DB7CD6"/>
    <w:rsid w:val="3BC11885"/>
    <w:rsid w:val="3D623CA0"/>
    <w:rsid w:val="3EAD226D"/>
    <w:rsid w:val="3F534AF1"/>
    <w:rsid w:val="3FDE5FF4"/>
    <w:rsid w:val="40943F42"/>
    <w:rsid w:val="412C304D"/>
    <w:rsid w:val="41A840DC"/>
    <w:rsid w:val="41C2515C"/>
    <w:rsid w:val="421C0573"/>
    <w:rsid w:val="425D4DDC"/>
    <w:rsid w:val="43D844D5"/>
    <w:rsid w:val="464E0B98"/>
    <w:rsid w:val="48C17210"/>
    <w:rsid w:val="49484864"/>
    <w:rsid w:val="4A1B603F"/>
    <w:rsid w:val="4BEF32A1"/>
    <w:rsid w:val="4E2855D7"/>
    <w:rsid w:val="520E3724"/>
    <w:rsid w:val="52FB7A20"/>
    <w:rsid w:val="541F0B01"/>
    <w:rsid w:val="581776FC"/>
    <w:rsid w:val="59847FAC"/>
    <w:rsid w:val="59EA7D32"/>
    <w:rsid w:val="5AD113B4"/>
    <w:rsid w:val="5CC277AF"/>
    <w:rsid w:val="5CE465D5"/>
    <w:rsid w:val="5DD12643"/>
    <w:rsid w:val="5FDA407C"/>
    <w:rsid w:val="61590859"/>
    <w:rsid w:val="626F16E1"/>
    <w:rsid w:val="62AE358F"/>
    <w:rsid w:val="63AF3B79"/>
    <w:rsid w:val="64034F3E"/>
    <w:rsid w:val="64F6680D"/>
    <w:rsid w:val="67ED5F63"/>
    <w:rsid w:val="69573E0A"/>
    <w:rsid w:val="6AA31B50"/>
    <w:rsid w:val="6B40722E"/>
    <w:rsid w:val="6C43508A"/>
    <w:rsid w:val="6D4E10FF"/>
    <w:rsid w:val="6E565AB2"/>
    <w:rsid w:val="702A48AE"/>
    <w:rsid w:val="70CE1F61"/>
    <w:rsid w:val="714874B8"/>
    <w:rsid w:val="723914F7"/>
    <w:rsid w:val="734E5DFD"/>
    <w:rsid w:val="73D732B3"/>
    <w:rsid w:val="74056EAA"/>
    <w:rsid w:val="75244896"/>
    <w:rsid w:val="75245801"/>
    <w:rsid w:val="756365CD"/>
    <w:rsid w:val="761B6CA4"/>
    <w:rsid w:val="77A517EC"/>
    <w:rsid w:val="77D9530E"/>
    <w:rsid w:val="77E801CC"/>
    <w:rsid w:val="78C17B9E"/>
    <w:rsid w:val="798125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Lines="0" w:beforeAutospacing="0" w:afterLines="0" w:afterAutospacing="0" w:line="560" w:lineRule="exact"/>
      <w:ind w:left="630" w:leftChars="300"/>
      <w:jc w:val="left"/>
      <w:outlineLvl w:val="2"/>
    </w:pPr>
    <w:rPr>
      <w:rFonts w:ascii="Times New Roman" w:hAnsi="Times New Roman" w:eastAsia="楷体"/>
      <w:sz w:val="32"/>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仿宋_GB2312" w:cs="Times New Roman"/>
      <w:kern w:val="2"/>
      <w:sz w:val="32"/>
      <w:szCs w:val="32"/>
      <w:lang w:val="en-US" w:eastAsia="zh-CN" w:bidi="ar"/>
    </w:rPr>
  </w:style>
  <w:style w:type="paragraph" w:styleId="4">
    <w:name w:val="Body Text"/>
    <w:basedOn w:val="1"/>
    <w:qFormat/>
    <w:uiPriority w:val="0"/>
    <w:pPr>
      <w:spacing w:after="120"/>
    </w:pPr>
    <w:rPr>
      <w:rFonts w:ascii="Calibri" w:hAnsi="Calibri" w:eastAsia="宋体" w:cs="Times New Roma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0"/>
    <w:pPr>
      <w:spacing w:before="240" w:after="60"/>
      <w:jc w:val="center"/>
      <w:textAlignment w:val="baseline"/>
    </w:pPr>
    <w:rPr>
      <w:rFonts w:ascii="Arial" w:hAnsi="Arial" w:cs="Arial"/>
      <w:b/>
      <w:bCs/>
      <w:kern w:val="2"/>
      <w:sz w:val="32"/>
      <w:szCs w:val="32"/>
      <w:lang w:val="en-US" w:eastAsia="zh-CN" w:bidi="ar-SA"/>
    </w:rPr>
  </w:style>
  <w:style w:type="paragraph" w:styleId="9">
    <w:name w:val="Body Text First Indent 2"/>
    <w:basedOn w:val="5"/>
    <w:qFormat/>
    <w:uiPriority w:val="0"/>
    <w:pPr>
      <w:spacing w:after="0"/>
      <w:ind w:left="0" w:leftChars="0" w:firstLine="960"/>
    </w:pPr>
    <w:rPr>
      <w:sz w:val="32"/>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 w:type="paragraph" w:customStyle="1" w:styleId="13">
    <w:name w:val="PlainText"/>
    <w:basedOn w:val="1"/>
    <w:qFormat/>
    <w:uiPriority w:val="0"/>
    <w:pPr>
      <w:spacing w:before="0" w:after="0" w:line="240" w:lineRule="auto"/>
      <w:ind w:left="0" w:right="0"/>
      <w:jc w:val="both"/>
    </w:pPr>
    <w:rPr>
      <w:rFonts w:ascii="宋体" w:hAnsi="Courier New" w:eastAsia="仿宋_GB2312"/>
      <w:kern w:val="2"/>
      <w:sz w:val="32"/>
      <w:szCs w:val="32"/>
      <w:lang w:val="en-US" w:eastAsia="zh-CN"/>
    </w:rPr>
  </w:style>
  <w:style w:type="table" w:customStyle="1" w:styleId="14">
    <w:name w:val="网格型1"/>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2234</Words>
  <Characters>2309</Characters>
  <Lines>0</Lines>
  <Paragraphs>0</Paragraphs>
  <TotalTime>0</TotalTime>
  <ScaleCrop>false</ScaleCrop>
  <LinksUpToDate>false</LinksUpToDate>
  <CharactersWithSpaces>2502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2019-08-22T08:10:00Z</dcterms:created>
  <dc:creator>1916367993</dc:creator>
  <cp:lastModifiedBy>铭</cp:lastModifiedBy>
  <cp:lastPrinted>2023-12-27T06:45:05Z</cp:lastPrinted>
  <dcterms:modified xsi:type="dcterms:W3CDTF">2023-12-29T06:33:29Z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0CD1923444AB4DBEB2285206D449B33E_13</vt:lpwstr>
  </property>
</Properties>
</file>