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Calibri" w:eastAsia="方正小标宋简体" w:cs="Calibri"/>
          <w:color w:val="000000" w:themeColor="text1"/>
          <w:kern w:val="0"/>
          <w:sz w:val="44"/>
          <w:szCs w:val="44"/>
          <w:lang w:val="ru-RU"/>
        </w:rPr>
      </w:pPr>
      <w:bookmarkStart w:id="0" w:name="_GoBack"/>
      <w:bookmarkEnd w:id="0"/>
      <w:r>
        <w:rPr>
          <w:rFonts w:hint="eastAsia" w:ascii="方正小标宋简体" w:hAnsi="Calibri" w:eastAsia="方正小标宋简体" w:cs="Calibri"/>
          <w:color w:val="000000" w:themeColor="text1"/>
          <w:kern w:val="0"/>
          <w:sz w:val="44"/>
          <w:szCs w:val="44"/>
          <w:lang w:val="ru-RU"/>
        </w:rPr>
        <w:t>吉林市需求端证明事项清单</w:t>
      </w:r>
    </w:p>
    <w:p>
      <w:pPr>
        <w:spacing w:line="600" w:lineRule="exact"/>
        <w:jc w:val="center"/>
        <w:rPr>
          <w:rFonts w:ascii="方正小标宋简体" w:hAnsi="Calibri" w:eastAsia="方正小标宋简体" w:cs="Calibri"/>
          <w:color w:val="000000" w:themeColor="text1"/>
          <w:kern w:val="0"/>
          <w:sz w:val="28"/>
          <w:szCs w:val="28"/>
          <w:lang w:val="ru-RU"/>
        </w:rPr>
      </w:pPr>
      <w:r>
        <w:rPr>
          <w:rFonts w:hint="eastAsia" w:ascii="方正小标宋简体" w:hAnsi="Calibri" w:eastAsia="方正小标宋简体" w:cs="Calibri"/>
          <w:color w:val="000000" w:themeColor="text1"/>
          <w:kern w:val="0"/>
          <w:sz w:val="28"/>
          <w:szCs w:val="28"/>
          <w:lang w:val="ru-RU"/>
        </w:rPr>
        <w:t>（2020年）</w:t>
      </w:r>
    </w:p>
    <w:tbl>
      <w:tblPr>
        <w:tblStyle w:val="14"/>
        <w:tblW w:w="1347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6"/>
        <w:gridCol w:w="1613"/>
        <w:gridCol w:w="3642"/>
        <w:gridCol w:w="572"/>
        <w:gridCol w:w="2439"/>
        <w:gridCol w:w="1969"/>
        <w:gridCol w:w="1219"/>
        <w:gridCol w:w="1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tblHeader/>
          <w:jc w:val="center"/>
        </w:trPr>
        <w:tc>
          <w:tcPr>
            <w:tcW w:w="496"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spacing w:val="-10"/>
                <w:kern w:val="0"/>
                <w:sz w:val="18"/>
                <w:szCs w:val="18"/>
                <w:lang w:val="ru-RU"/>
              </w:rPr>
            </w:pPr>
            <w:r>
              <w:rPr>
                <w:rFonts w:hint="eastAsia" w:ascii="方正黑体简体" w:hAnsi="方正黑体简体" w:eastAsia="方正黑体简体" w:cs="方正黑体简体"/>
                <w:color w:val="000000" w:themeColor="text1"/>
                <w:spacing w:val="-10"/>
                <w:kern w:val="0"/>
                <w:sz w:val="18"/>
                <w:szCs w:val="18"/>
                <w:lang w:val="ru-RU"/>
              </w:rPr>
              <w:t>序号</w:t>
            </w:r>
          </w:p>
        </w:tc>
        <w:tc>
          <w:tcPr>
            <w:tcW w:w="1613"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事项名称</w:t>
            </w:r>
          </w:p>
        </w:tc>
        <w:tc>
          <w:tcPr>
            <w:tcW w:w="3642"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设定依据</w:t>
            </w:r>
          </w:p>
        </w:tc>
        <w:tc>
          <w:tcPr>
            <w:tcW w:w="572"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依据</w:t>
            </w:r>
          </w:p>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类型</w:t>
            </w:r>
          </w:p>
        </w:tc>
        <w:tc>
          <w:tcPr>
            <w:tcW w:w="2439"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开具用途</w:t>
            </w:r>
          </w:p>
        </w:tc>
        <w:tc>
          <w:tcPr>
            <w:tcW w:w="1969"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spacing w:val="-6"/>
                <w:kern w:val="0"/>
                <w:sz w:val="18"/>
                <w:szCs w:val="18"/>
                <w:lang w:val="ru-RU"/>
              </w:rPr>
              <w:t>供给端单位</w:t>
            </w:r>
          </w:p>
          <w:p>
            <w:pPr>
              <w:jc w:val="center"/>
              <w:rPr>
                <w:rFonts w:ascii="方正黑体简体" w:hAnsi="方正黑体简体" w:eastAsia="方正黑体简体" w:cs="方正黑体简体"/>
                <w:color w:val="000000" w:themeColor="text1"/>
                <w:spacing w:val="-6"/>
                <w:kern w:val="0"/>
                <w:sz w:val="18"/>
                <w:szCs w:val="18"/>
                <w:lang w:val="ru-RU"/>
              </w:rPr>
            </w:pPr>
            <w:r>
              <w:rPr>
                <w:rFonts w:hint="eastAsia" w:ascii="方正黑体简体" w:hAnsi="方正黑体简体" w:eastAsia="方正黑体简体" w:cs="方正黑体简体"/>
                <w:color w:val="000000" w:themeColor="text1"/>
                <w:spacing w:val="-6"/>
                <w:kern w:val="0"/>
                <w:sz w:val="18"/>
                <w:szCs w:val="18"/>
                <w:lang w:val="ru-RU"/>
              </w:rPr>
              <w:t>（</w:t>
            </w:r>
            <w:r>
              <w:rPr>
                <w:rFonts w:hint="eastAsia" w:ascii="方正黑体简体" w:hAnsi="方正黑体简体" w:eastAsia="方正黑体简体" w:cs="方正黑体简体"/>
                <w:color w:val="000000" w:themeColor="text1"/>
                <w:kern w:val="0"/>
                <w:sz w:val="18"/>
                <w:szCs w:val="18"/>
                <w:lang w:val="ru-RU"/>
              </w:rPr>
              <w:t>开具单位</w:t>
            </w:r>
            <w:r>
              <w:rPr>
                <w:rFonts w:hint="eastAsia" w:ascii="方正黑体简体" w:hAnsi="方正黑体简体" w:eastAsia="方正黑体简体" w:cs="方正黑体简体"/>
                <w:color w:val="000000" w:themeColor="text1"/>
                <w:spacing w:val="-6"/>
                <w:kern w:val="0"/>
                <w:sz w:val="18"/>
                <w:szCs w:val="18"/>
                <w:lang w:val="ru-RU"/>
              </w:rPr>
              <w:t>）</w:t>
            </w:r>
          </w:p>
        </w:tc>
        <w:tc>
          <w:tcPr>
            <w:tcW w:w="1219"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spacing w:val="-6"/>
                <w:kern w:val="0"/>
                <w:sz w:val="18"/>
                <w:szCs w:val="18"/>
                <w:lang w:val="ru-RU"/>
              </w:rPr>
              <w:t>需求端单位</w:t>
            </w:r>
          </w:p>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spacing w:val="-6"/>
                <w:kern w:val="0"/>
                <w:sz w:val="18"/>
                <w:szCs w:val="18"/>
                <w:lang w:val="ru-RU"/>
              </w:rPr>
              <w:t>（</w:t>
            </w:r>
            <w:r>
              <w:rPr>
                <w:rFonts w:hint="eastAsia" w:ascii="方正黑体简体" w:hAnsi="方正黑体简体" w:eastAsia="方正黑体简体" w:cs="方正黑体简体"/>
                <w:color w:val="000000" w:themeColor="text1"/>
                <w:kern w:val="0"/>
                <w:sz w:val="18"/>
                <w:szCs w:val="18"/>
                <w:lang w:val="ru-RU"/>
              </w:rPr>
              <w:t>索要单位</w:t>
            </w:r>
            <w:r>
              <w:rPr>
                <w:rFonts w:hint="eastAsia" w:ascii="方正黑体简体" w:hAnsi="方正黑体简体" w:eastAsia="方正黑体简体" w:cs="方正黑体简体"/>
                <w:color w:val="000000" w:themeColor="text1"/>
                <w:spacing w:val="-6"/>
                <w:kern w:val="0"/>
                <w:sz w:val="18"/>
                <w:szCs w:val="18"/>
                <w:lang w:val="ru-RU"/>
              </w:rPr>
              <w:t>）</w:t>
            </w:r>
          </w:p>
        </w:tc>
        <w:tc>
          <w:tcPr>
            <w:tcW w:w="1527" w:type="dxa"/>
            <w:tcBorders>
              <w:tl2br w:val="nil"/>
              <w:tr2bl w:val="nil"/>
            </w:tcBorders>
            <w:tcMar>
              <w:left w:w="85" w:type="dxa"/>
              <w:right w:w="85" w:type="dxa"/>
            </w:tcMar>
            <w:vAlign w:val="center"/>
          </w:tcPr>
          <w:p>
            <w:pPr>
              <w:jc w:val="center"/>
              <w:rPr>
                <w:rFonts w:ascii="方正黑体简体" w:hAnsi="方正黑体简体" w:eastAsia="方正黑体简体" w:cs="方正黑体简体"/>
                <w:color w:val="000000" w:themeColor="text1"/>
                <w:kern w:val="0"/>
                <w:sz w:val="18"/>
                <w:szCs w:val="18"/>
                <w:lang w:val="ru-RU"/>
              </w:rPr>
            </w:pPr>
            <w:r>
              <w:rPr>
                <w:rFonts w:hint="eastAsia" w:ascii="方正黑体简体" w:hAnsi="方正黑体简体" w:eastAsia="方正黑体简体" w:cs="方正黑体简体"/>
                <w:color w:val="000000" w:themeColor="text1"/>
                <w:kern w:val="0"/>
                <w:sz w:val="18"/>
                <w:szCs w:val="18"/>
                <w:lang w:val="ru-RU"/>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1613" w:type="dxa"/>
            <w:vMerge w:val="restart"/>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住所证明</w:t>
            </w:r>
          </w:p>
          <w:p>
            <w:pPr>
              <w:jc w:val="center"/>
              <w:rPr>
                <w:rFonts w:ascii="宋体" w:hAnsi="宋体" w:cs="宋体"/>
                <w:color w:val="000000" w:themeColor="text1"/>
                <w:sz w:val="18"/>
                <w:szCs w:val="18"/>
              </w:rPr>
            </w:pPr>
            <w:r>
              <w:rPr>
                <w:rFonts w:hint="eastAsia" w:ascii="宋体" w:hAnsi="宋体"/>
                <w:color w:val="000000" w:themeColor="text1"/>
                <w:sz w:val="18"/>
                <w:szCs w:val="18"/>
              </w:rPr>
              <w:t>（场所使用证明）</w:t>
            </w:r>
          </w:p>
        </w:tc>
        <w:tc>
          <w:tcPr>
            <w:tcW w:w="3642" w:type="dxa"/>
            <w:vMerge w:val="restart"/>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1.《吉林省人民政府关于印发吉林省市场主体住所（经营场所）登记管理暂行办法的通知》（吉政发﹝2014﹞46号）第四条 （三）未取得房屋产权证明的，提交房地产管理部门的证明；没有房地产管理部门证明的，提交房屋竣工验收证明、购房合同及房屋销售许可证复印件；出租方为宾馆、饭店的，可提交宾馆、饭店的营业执照复印件；无法提交上述文件的，可提交当地人民政府或者其派出机构、各类开发区（园区）管委会、居（村）民委员会出具的相关证明</w:t>
            </w:r>
          </w:p>
          <w:p>
            <w:pPr>
              <w:rPr>
                <w:rFonts w:ascii="宋体" w:hAnsi="宋体" w:cs="宋体"/>
                <w:color w:val="000000" w:themeColor="text1"/>
                <w:kern w:val="0"/>
                <w:sz w:val="18"/>
                <w:szCs w:val="18"/>
              </w:rPr>
            </w:pPr>
            <w:r>
              <w:rPr>
                <w:rFonts w:hint="eastAsia" w:ascii="宋体" w:hAnsi="宋体"/>
                <w:color w:val="000000" w:themeColor="text1"/>
                <w:sz w:val="18"/>
                <w:szCs w:val="18"/>
              </w:rPr>
              <w:t>2.</w:t>
            </w:r>
            <w:r>
              <w:rPr>
                <w:rFonts w:hint="eastAsia" w:ascii="宋体" w:hAnsi="宋体" w:cs="宋体"/>
                <w:color w:val="000000" w:themeColor="text1"/>
                <w:kern w:val="0"/>
                <w:sz w:val="18"/>
                <w:szCs w:val="18"/>
              </w:rPr>
              <w:t>《机动车驾驶证申领和使用规定》（公安部第139号令）第二十一条 持军队、武装警察部队机动车驾驶证的人申请机动车驾驶证应提交申请人的身份证明；第一百零三条第二项第2款：现役军人（含武警）的住址，在未办理《居民身份证》前，是其所在团级以上单位出具的本人住所证明记载的住址</w:t>
            </w:r>
          </w:p>
          <w:p>
            <w:pPr>
              <w:rPr>
                <w:rFonts w:ascii="宋体" w:hAnsi="宋体"/>
                <w:color w:val="000000" w:themeColor="text1"/>
                <w:sz w:val="18"/>
                <w:szCs w:val="18"/>
              </w:rPr>
            </w:pPr>
            <w:r>
              <w:rPr>
                <w:rFonts w:hint="eastAsia" w:ascii="宋体" w:hAnsi="宋体" w:cs="宋体"/>
                <w:color w:val="000000" w:themeColor="text1"/>
                <w:sz w:val="18"/>
                <w:szCs w:val="18"/>
              </w:rPr>
              <w:t>3.</w:t>
            </w:r>
            <w:r>
              <w:rPr>
                <w:rFonts w:hint="eastAsia" w:ascii="宋体" w:hAnsi="宋体"/>
                <w:color w:val="000000" w:themeColor="text1"/>
                <w:sz w:val="18"/>
                <w:szCs w:val="18"/>
              </w:rPr>
              <w:t>《事业单位登记管理暂行条例实施细则》第三十六条 申请事业单位法人设立登记的单位，应当具备下列条件：（三）有稳定的场所</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第三十七条 申请事业单位法人设立登记，应当向登记管理机关提交下列文件: (八)住所证明</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4.《社会团体登记管理条例》（2016年2月6日修订）第十一条：申请登记社会团体，发起人应当向登记管理机关提交下列文件：（三）验资报告、场所使用权证明</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5.《吉林省全省性社会团体登记须知》社会团体的登记事项、备案事项需要变更的，应当自业务主管单位审查同意之日起30日内，向登记管理机关申请变更登记、变更备案(以下统称变更登记)。社会团体变更登记，需向登记管理机关提交以下材料(一式四份): 6、社会团体住所变更的，还应提交新住所的产权证明或使用证明材料（使用面积、使用期限、地址、邮编、联系电话）</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6.《民办非企业单位登记管理暂行条例》（1998年国务院令第251号）第九条 申请民办非企业单位登记，举办者应当向登记管理机关提交下列文件：（三）场所使用权证明</w:t>
            </w:r>
          </w:p>
          <w:p>
            <w:pPr>
              <w:spacing w:line="320" w:lineRule="exact"/>
              <w:rPr>
                <w:rFonts w:ascii="宋体" w:hAnsi="宋体"/>
                <w:color w:val="000000" w:themeColor="text1"/>
                <w:sz w:val="18"/>
                <w:szCs w:val="18"/>
              </w:rPr>
            </w:pPr>
            <w:r>
              <w:rPr>
                <w:rFonts w:hint="eastAsia" w:ascii="宋体" w:hAnsi="宋体"/>
                <w:color w:val="000000" w:themeColor="text1"/>
                <w:sz w:val="18"/>
                <w:szCs w:val="18"/>
              </w:rPr>
              <w:t xml:space="preserve">7.《民办非企业单位登记暂行办法》(1999年民政部令第18号) 民办非企业单位的活动场所须有产权证明或一年期以上的使用权证明 </w:t>
            </w:r>
          </w:p>
          <w:p>
            <w:pPr>
              <w:rPr>
                <w:rFonts w:ascii="宋体" w:hAnsi="宋体"/>
                <w:color w:val="000000" w:themeColor="text1"/>
                <w:sz w:val="18"/>
                <w:szCs w:val="18"/>
              </w:rPr>
            </w:pPr>
            <w:r>
              <w:rPr>
                <w:rFonts w:hint="eastAsia" w:ascii="宋体" w:hAnsi="宋体"/>
                <w:color w:val="000000" w:themeColor="text1"/>
                <w:sz w:val="18"/>
                <w:szCs w:val="18"/>
              </w:rPr>
              <w:t>8.《吉林省交易场所监督管理暂行办法（试行）》（吉政令第248号） 第二章设立、变更、终止 第七条 新设交易场所，应当采取公司制组织形式，除符合《中华人民共和国公司法》规定外，还应具备以下条件：（五）有符合要求的营业场所和其他必要设施</w:t>
            </w:r>
          </w:p>
          <w:p>
            <w:pPr>
              <w:rPr>
                <w:rFonts w:ascii="宋体" w:hAnsi="宋体" w:cs="宋体"/>
                <w:color w:val="000000" w:themeColor="text1"/>
                <w:sz w:val="18"/>
                <w:szCs w:val="18"/>
              </w:rPr>
            </w:pPr>
            <w:r>
              <w:rPr>
                <w:rFonts w:hint="eastAsia" w:ascii="宋体" w:hAnsi="宋体"/>
                <w:color w:val="000000" w:themeColor="text1"/>
                <w:sz w:val="18"/>
                <w:szCs w:val="18"/>
              </w:rPr>
              <w:t xml:space="preserve">9.《吉林省人民政府办公厅关于转发省金融办吉林省交易场所监督管理细则（试行）的通知》（吉政办发〔2016〕69号） 第二章设立 第十三条 省金融办根据本细则第九条规定组织验收时，筹建机构应准备下列材料：（四）营业场所、交收仓库所有权或使用权证明文件及消防安全证明 </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spacing w:line="240" w:lineRule="exact"/>
              <w:rPr>
                <w:rFonts w:ascii="宋体" w:hAnsi="宋体" w:cs="宋体"/>
                <w:color w:val="000000" w:themeColor="text1"/>
                <w:sz w:val="18"/>
                <w:szCs w:val="18"/>
              </w:rPr>
            </w:pPr>
            <w:r>
              <w:rPr>
                <w:rFonts w:hint="eastAsia" w:ascii="宋体" w:hAnsi="宋体"/>
                <w:color w:val="000000" w:themeColor="text1"/>
                <w:sz w:val="18"/>
                <w:szCs w:val="18"/>
              </w:rPr>
              <w:t>1.用于各类企业、个体工商户和农民专业合作社等市场主体住所（经营场所）的登记和审批</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不动产登记部门、人民政府或其派出机构、各类开发区（园区）管委会、居（村）民委员会</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市工商局、市药监局、市邮政管理局</w:t>
            </w:r>
          </w:p>
        </w:tc>
        <w:tc>
          <w:tcPr>
            <w:tcW w:w="1527" w:type="dxa"/>
            <w:vMerge w:val="restart"/>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仅在无法通过房产证、不动产证、购房合同、租赁协议、契税发票、营业执照及其他有效证件与证明文件证实的情况下适用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spacing w:line="240" w:lineRule="exact"/>
              <w:rPr>
                <w:rFonts w:ascii="宋体" w:hAnsi="宋体"/>
                <w:color w:val="000000" w:themeColor="text1"/>
                <w:sz w:val="18"/>
                <w:szCs w:val="18"/>
              </w:rPr>
            </w:pPr>
            <w:r>
              <w:rPr>
                <w:rFonts w:hint="eastAsia" w:ascii="宋体" w:hAnsi="宋体" w:cs="宋体"/>
                <w:color w:val="000000" w:themeColor="text1"/>
                <w:kern w:val="0"/>
                <w:sz w:val="18"/>
                <w:szCs w:val="18"/>
              </w:rPr>
              <w:t>2.用于军队及武装警察部队的现役军人驾驶员办理地方驾驶证业务，证明其是否符合法定申请条件</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宋体"/>
                <w:color w:val="000000" w:themeColor="text1"/>
                <w:kern w:val="0"/>
                <w:sz w:val="18"/>
                <w:szCs w:val="18"/>
              </w:rPr>
              <w:t>所在团级以上单位</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宋体"/>
                <w:color w:val="000000" w:themeColor="text1"/>
                <w:kern w:val="0"/>
                <w:sz w:val="18"/>
                <w:szCs w:val="18"/>
              </w:rPr>
              <w:t>市公安局（车辆管理所）</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56"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spacing w:line="240" w:lineRule="exact"/>
              <w:rPr>
                <w:rFonts w:ascii="宋体" w:hAnsi="宋体"/>
                <w:color w:val="000000" w:themeColor="text1"/>
                <w:sz w:val="18"/>
                <w:szCs w:val="18"/>
              </w:rPr>
            </w:pPr>
            <w:r>
              <w:rPr>
                <w:rFonts w:hint="eastAsia" w:ascii="宋体" w:hAnsi="宋体"/>
                <w:color w:val="000000" w:themeColor="text1"/>
                <w:sz w:val="18"/>
                <w:szCs w:val="18"/>
              </w:rPr>
              <w:t>3.用于事业单位法人设立登记、变更登记，证明有稳定的开办场所，并具有场所使用权</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不动产登记部门、机关事务管理部门、财政部门、国资部门、举办单位（主管部门）、发改部门（房屋立项批复）、政府或其派出机构、其他住所使用权（租赁权）授予单位</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市编办、县（市）区编办</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6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numPr>
                <w:ilvl w:val="0"/>
                <w:numId w:val="1"/>
              </w:numPr>
              <w:spacing w:line="240" w:lineRule="exact"/>
              <w:rPr>
                <w:rFonts w:ascii="宋体" w:hAnsi="宋体"/>
                <w:color w:val="000000" w:themeColor="text1"/>
                <w:sz w:val="18"/>
                <w:szCs w:val="18"/>
              </w:rPr>
            </w:pPr>
            <w:r>
              <w:rPr>
                <w:rFonts w:hint="eastAsia" w:ascii="宋体" w:hAnsi="宋体"/>
                <w:color w:val="000000" w:themeColor="text1"/>
                <w:sz w:val="18"/>
                <w:szCs w:val="18"/>
              </w:rPr>
              <w:t>用于社会团体和民办非企业单位登记和变更业务，用于证明其对场所具有使用权</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住所产权单位或使用权单位</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市民政局、</w:t>
            </w:r>
          </w:p>
          <w:p>
            <w:pPr>
              <w:rPr>
                <w:rFonts w:ascii="宋体" w:hAnsi="宋体"/>
                <w:color w:val="000000" w:themeColor="text1"/>
                <w:sz w:val="18"/>
                <w:szCs w:val="18"/>
              </w:rPr>
            </w:pPr>
            <w:r>
              <w:rPr>
                <w:rFonts w:hint="eastAsia" w:ascii="宋体" w:hAnsi="宋体"/>
                <w:color w:val="000000" w:themeColor="text1"/>
                <w:sz w:val="18"/>
                <w:szCs w:val="18"/>
              </w:rPr>
              <w:t>县（市）区民政局</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25"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widowControl/>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spacing w:line="240" w:lineRule="exact"/>
              <w:jc w:val="left"/>
              <w:rPr>
                <w:rFonts w:ascii="宋体" w:hAnsi="宋体"/>
                <w:color w:val="000000" w:themeColor="text1"/>
                <w:sz w:val="18"/>
                <w:szCs w:val="18"/>
              </w:rPr>
            </w:pPr>
            <w:r>
              <w:rPr>
                <w:rFonts w:hint="eastAsia" w:ascii="宋体" w:hAnsi="宋体"/>
                <w:color w:val="000000" w:themeColor="text1"/>
                <w:sz w:val="18"/>
                <w:szCs w:val="18"/>
              </w:rPr>
              <w:t>5.用于交易场所和小额贷款公司的设立、变更资格审核，证明有符合要求的营业场所并具有场所使用权</w:t>
            </w:r>
          </w:p>
        </w:tc>
        <w:tc>
          <w:tcPr>
            <w:tcW w:w="1969" w:type="dxa"/>
            <w:tcBorders>
              <w:tl2br w:val="nil"/>
              <w:tr2bl w:val="nil"/>
            </w:tcBorders>
            <w:tcMar>
              <w:left w:w="85" w:type="dxa"/>
              <w:right w:w="85" w:type="dxa"/>
            </w:tcMar>
            <w:vAlign w:val="center"/>
          </w:tcPr>
          <w:p>
            <w:pPr>
              <w:widowControl/>
              <w:jc w:val="left"/>
              <w:rPr>
                <w:rFonts w:ascii="宋体" w:hAnsi="宋体"/>
                <w:color w:val="000000" w:themeColor="text1"/>
                <w:sz w:val="18"/>
                <w:szCs w:val="18"/>
              </w:rPr>
            </w:pPr>
            <w:r>
              <w:rPr>
                <w:rFonts w:hint="eastAsia" w:ascii="宋体" w:hAnsi="宋体"/>
                <w:color w:val="000000" w:themeColor="text1"/>
                <w:sz w:val="18"/>
                <w:szCs w:val="18"/>
              </w:rPr>
              <w:t>不动产登记部门、其他住所使用权（租赁权）授予单位或个人</w:t>
            </w:r>
          </w:p>
        </w:tc>
        <w:tc>
          <w:tcPr>
            <w:tcW w:w="1219" w:type="dxa"/>
            <w:tcBorders>
              <w:tl2br w:val="nil"/>
              <w:tr2bl w:val="nil"/>
            </w:tcBorders>
            <w:tcMar>
              <w:left w:w="85" w:type="dxa"/>
              <w:right w:w="85" w:type="dxa"/>
            </w:tcMar>
            <w:vAlign w:val="center"/>
          </w:tcPr>
          <w:p>
            <w:pPr>
              <w:widowControl/>
              <w:jc w:val="center"/>
              <w:rPr>
                <w:rFonts w:ascii="宋体" w:hAnsi="宋体"/>
                <w:color w:val="000000" w:themeColor="text1"/>
                <w:sz w:val="18"/>
                <w:szCs w:val="18"/>
              </w:rPr>
            </w:pPr>
            <w:r>
              <w:rPr>
                <w:rFonts w:hint="eastAsia" w:ascii="宋体" w:hAnsi="宋体"/>
                <w:color w:val="000000" w:themeColor="text1"/>
                <w:sz w:val="18"/>
                <w:szCs w:val="18"/>
              </w:rPr>
              <w:t>市金融办</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76"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w:t>
            </w:r>
          </w:p>
        </w:tc>
        <w:tc>
          <w:tcPr>
            <w:tcW w:w="1613"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olor w:val="000000" w:themeColor="text1"/>
                <w:sz w:val="18"/>
                <w:szCs w:val="18"/>
              </w:rPr>
              <w:t>户口登记项目内容变更更正证明（身份变更证明或同一人证明）</w:t>
            </w:r>
          </w:p>
        </w:tc>
        <w:tc>
          <w:tcPr>
            <w:tcW w:w="3642" w:type="dxa"/>
            <w:vMerge w:val="restart"/>
            <w:tcBorders>
              <w:tl2br w:val="nil"/>
              <w:tr2bl w:val="nil"/>
            </w:tcBorders>
            <w:tcMar>
              <w:left w:w="85" w:type="dxa"/>
              <w:right w:w="85" w:type="dxa"/>
            </w:tcMar>
            <w:vAlign w:val="center"/>
          </w:tcPr>
          <w:p>
            <w:pPr>
              <w:spacing w:line="320" w:lineRule="exact"/>
              <w:rPr>
                <w:rFonts w:ascii="宋体" w:hAnsi="宋体"/>
                <w:color w:val="000000" w:themeColor="text1"/>
                <w:sz w:val="18"/>
                <w:szCs w:val="18"/>
              </w:rPr>
            </w:pPr>
            <w:r>
              <w:rPr>
                <w:rFonts w:hint="eastAsia" w:ascii="宋体" w:hAnsi="宋体"/>
                <w:color w:val="000000" w:themeColor="text1"/>
                <w:sz w:val="18"/>
                <w:szCs w:val="18"/>
              </w:rPr>
              <w:t>1.《吉林省公安厅&lt;关于改进公安派出所出具证明有关事项的通知&gt;》(</w:t>
            </w:r>
            <w:r>
              <w:rPr>
                <w:rFonts w:ascii="宋体" w:hAnsi="宋体"/>
                <w:color w:val="000000" w:themeColor="text1"/>
                <w:sz w:val="18"/>
                <w:szCs w:val="18"/>
              </w:rPr>
              <w:t>吉公办字﹝2015﹞56号</w:t>
            </w:r>
            <w:r>
              <w:rPr>
                <w:rFonts w:hint="eastAsia" w:ascii="宋体" w:hAnsi="宋体"/>
                <w:color w:val="000000" w:themeColor="text1"/>
                <w:sz w:val="18"/>
                <w:szCs w:val="18"/>
              </w:rPr>
              <w:t>) 三（一）</w:t>
            </w:r>
            <w:r>
              <w:rPr>
                <w:rFonts w:ascii="宋体" w:hAnsi="宋体"/>
                <w:color w:val="000000" w:themeColor="text1"/>
                <w:sz w:val="18"/>
                <w:szCs w:val="18"/>
              </w:rPr>
              <w:t xml:space="preserve"> </w:t>
            </w:r>
            <w:r>
              <w:rPr>
                <w:rFonts w:hint="eastAsia" w:ascii="宋体" w:hAnsi="宋体"/>
                <w:color w:val="000000" w:themeColor="text1"/>
                <w:sz w:val="18"/>
                <w:szCs w:val="18"/>
              </w:rPr>
              <w:t>明确公安派出所出具证明的范围，公安派出所应当出具的证明包括以下5类，共9种，分别是：1、亲属关系证明（仅限于曾经同户人员之间证明亲属关系）。2、户口登记项目（姓名、性别、民族、出生日期、公民身份号码）变更更正证明。3、非正常死亡证明</w:t>
            </w:r>
          </w:p>
          <w:p>
            <w:pPr>
              <w:spacing w:line="310" w:lineRule="exact"/>
              <w:rPr>
                <w:rFonts w:ascii="宋体" w:hAnsi="宋体"/>
                <w:color w:val="000000" w:themeColor="text1"/>
                <w:sz w:val="18"/>
                <w:szCs w:val="18"/>
              </w:rPr>
            </w:pPr>
            <w:r>
              <w:rPr>
                <w:rFonts w:hint="eastAsia" w:ascii="宋体" w:hAnsi="宋体"/>
                <w:color w:val="000000" w:themeColor="text1"/>
                <w:sz w:val="18"/>
                <w:szCs w:val="18"/>
              </w:rPr>
              <w:t>2.《关于改进和规范公安派出所出具证明工作的意见》（公通字﹝2016﹞21号）：二之1、户口登记项目内容变更更正证明。公民更正或者变更姓名、性别、民族成份、出生日期、公民身份号码等</w:t>
            </w:r>
            <w:r>
              <w:rPr>
                <w:rFonts w:ascii="宋体" w:hAnsi="宋体"/>
                <w:color w:val="000000" w:themeColor="text1"/>
                <w:sz w:val="18"/>
                <w:szCs w:val="18"/>
              </w:rPr>
              <w:t>5</w:t>
            </w:r>
            <w:r>
              <w:rPr>
                <w:rFonts w:hint="eastAsia" w:ascii="宋体" w:hAnsi="宋体"/>
                <w:color w:val="000000" w:themeColor="text1"/>
                <w:sz w:val="18"/>
                <w:szCs w:val="18"/>
              </w:rPr>
              <w:t>项户口登记项目内容，或者因户口迁移，凭居民户口簿无法证明的事项，需要开具相应证明的，公安派出所应当查阅户籍档案并出具</w:t>
            </w:r>
          </w:p>
          <w:p>
            <w:pPr>
              <w:spacing w:line="310" w:lineRule="exact"/>
              <w:rPr>
                <w:rFonts w:ascii="宋体" w:hAnsi="宋体"/>
                <w:color w:val="000000" w:themeColor="text1"/>
                <w:spacing w:val="-4"/>
                <w:sz w:val="18"/>
                <w:szCs w:val="18"/>
              </w:rPr>
            </w:pPr>
            <w:r>
              <w:rPr>
                <w:rFonts w:hint="eastAsia" w:ascii="宋体" w:hAnsi="宋体"/>
                <w:color w:val="000000" w:themeColor="text1"/>
                <w:spacing w:val="-4"/>
                <w:sz w:val="18"/>
                <w:szCs w:val="18"/>
              </w:rPr>
              <w:t>一之(三)之 5、因公民个人或者有关部门和单位工作人员填写、录入差错等原因，致使公民在有关部门或者单位的登记信息与居民户口簿、居民身份证、护照登记消息不一致，需证明两者为同一人的，由有关部门和单位负责核查，公安部门根据职责提供必要协助</w:t>
            </w:r>
          </w:p>
          <w:p>
            <w:pPr>
              <w:spacing w:line="310" w:lineRule="exact"/>
              <w:rPr>
                <w:rFonts w:ascii="宋体" w:hAnsi="宋体"/>
                <w:color w:val="000000" w:themeColor="text1"/>
                <w:sz w:val="18"/>
                <w:szCs w:val="18"/>
              </w:rPr>
            </w:pPr>
            <w:r>
              <w:rPr>
                <w:rFonts w:hint="eastAsia" w:ascii="宋体" w:hAnsi="宋体"/>
                <w:color w:val="000000" w:themeColor="text1"/>
                <w:sz w:val="18"/>
                <w:szCs w:val="18"/>
              </w:rPr>
              <w:t>3.《工商总局等六部门关于贯彻落实&lt;国务院办公厅关于加快推进“三证合一”登记制度改革的意见&gt;的通知》（工商企注字﹝2015﹞121号）《内资企业登记提交材料规范》﹝4﹞公司变更登记提交材料规范  6.变更事项相关证明文件。公司法定代表人更改姓名的，只需提交公安部门出具的证明……变更股东或发起人名称或姓名的，提交股东或发起人名称或姓名变更证明﹝24﹞公司备案提交材料规范“4.备案事项证明文件。 董事、监事、经理备案。提交有关董事、经理、监事发生变动的文件</w:t>
            </w:r>
          </w:p>
          <w:p>
            <w:pPr>
              <w:spacing w:line="310" w:lineRule="exact"/>
              <w:rPr>
                <w:rFonts w:ascii="宋体" w:hAnsi="宋体"/>
                <w:color w:val="000000" w:themeColor="text1"/>
                <w:sz w:val="18"/>
                <w:szCs w:val="18"/>
              </w:rPr>
            </w:pPr>
            <w:r>
              <w:rPr>
                <w:rFonts w:hint="eastAsia" w:ascii="宋体" w:hAnsi="宋体"/>
                <w:color w:val="000000" w:themeColor="text1"/>
                <w:sz w:val="18"/>
                <w:szCs w:val="18"/>
              </w:rPr>
              <w:t>4.《住房和城乡建设部房地产登记技术规程》（登记资料利用，附录13.0.11）。房地产登记后，房地产权利人的身份证明类型、证件号码等内容发生变更，当其申请办理已登记房地产的新登记事项时，提供证明申请主体与登记资料中留存或记载的主体为同一人的材料，应提交相关证明</w:t>
            </w:r>
          </w:p>
          <w:p>
            <w:pPr>
              <w:spacing w:line="320" w:lineRule="exact"/>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5.《公证法》第十一条 申请人可以办理公证事项公证。第二十七条 申请办理的当事人应当向公证机构如实说明申请公证的事项的情况，提供真实、合法、充分的证明材料。提供的证明材料不充分的，公证机构可以要求补充。第二十八条 公证机构办理公证，应根据不同公证事项的办理规则分别审查提供的证明材料是否真实、合法、充分</w:t>
            </w:r>
          </w:p>
          <w:p>
            <w:pPr>
              <w:spacing w:line="320" w:lineRule="exact"/>
              <w:rPr>
                <w:rFonts w:ascii="宋体" w:hAnsi="宋体"/>
                <w:color w:val="000000" w:themeColor="text1"/>
                <w:sz w:val="18"/>
                <w:szCs w:val="18"/>
                <w:shd w:val="clear" w:color="auto" w:fill="FFFFFF"/>
              </w:rPr>
            </w:pPr>
            <w:r>
              <w:rPr>
                <w:rFonts w:hint="eastAsia" w:ascii="宋体" w:hAnsi="宋体"/>
                <w:bCs/>
                <w:color w:val="000000" w:themeColor="text1"/>
                <w:sz w:val="18"/>
                <w:szCs w:val="18"/>
              </w:rPr>
              <w:t>6.</w:t>
            </w:r>
            <w:r>
              <w:rPr>
                <w:rFonts w:ascii="宋体" w:hAnsi="宋体"/>
                <w:bCs/>
                <w:color w:val="000000" w:themeColor="text1"/>
                <w:sz w:val="18"/>
                <w:szCs w:val="18"/>
              </w:rPr>
              <w:t>《不动产登记操作规范（试行）》</w:t>
            </w:r>
            <w:r>
              <w:rPr>
                <w:rFonts w:hint="eastAsia" w:ascii="宋体" w:hAnsi="宋体"/>
                <w:bCs/>
                <w:color w:val="000000" w:themeColor="text1"/>
                <w:sz w:val="18"/>
                <w:szCs w:val="18"/>
              </w:rPr>
              <w:t>（国土资规﹝2016﹞6号）</w:t>
            </w:r>
            <w:r>
              <w:rPr>
                <w:rFonts w:ascii="宋体" w:hAnsi="宋体"/>
                <w:color w:val="000000" w:themeColor="text1"/>
                <w:sz w:val="18"/>
                <w:szCs w:val="18"/>
                <w:shd w:val="clear" w:color="auto" w:fill="FFFFFF"/>
              </w:rPr>
              <w:t>1.8.4.2</w:t>
            </w:r>
            <w:r>
              <w:rPr>
                <w:rStyle w:val="27"/>
                <w:rFonts w:ascii="宋体" w:hAnsi="宋体"/>
                <w:color w:val="000000" w:themeColor="text1"/>
                <w:sz w:val="18"/>
                <w:szCs w:val="18"/>
                <w:shd w:val="clear" w:color="auto" w:fill="FFFFFF"/>
              </w:rPr>
              <w:t> </w:t>
            </w:r>
            <w:r>
              <w:rPr>
                <w:rFonts w:hint="eastAsia" w:ascii="宋体" w:hAnsi="宋体"/>
                <w:color w:val="000000" w:themeColor="text1"/>
                <w:sz w:val="18"/>
                <w:szCs w:val="18"/>
                <w:shd w:val="clear" w:color="auto" w:fill="FFFFFF"/>
              </w:rPr>
              <w:t>已经登记的不动产，因其权利人的名称、身份证明类型或者身份证明号码等内容发生变更的，申请人申请办理该不动产的登记事项时，应当提供能够证实其身份变更的材料</w:t>
            </w:r>
          </w:p>
          <w:p>
            <w:pPr>
              <w:spacing w:line="320" w:lineRule="exact"/>
              <w:rPr>
                <w:rFonts w:ascii="宋体" w:hAnsi="宋体" w:cs="宋体"/>
                <w:color w:val="000000" w:themeColor="text1"/>
                <w:kern w:val="0"/>
                <w:sz w:val="18"/>
                <w:szCs w:val="18"/>
              </w:rPr>
            </w:pPr>
            <w:r>
              <w:rPr>
                <w:rFonts w:hint="eastAsia" w:ascii="宋体" w:hAnsi="宋体"/>
                <w:color w:val="000000" w:themeColor="text1"/>
                <w:sz w:val="18"/>
                <w:szCs w:val="18"/>
              </w:rPr>
              <w:t xml:space="preserve">7.《关于部队官兵子女变更&lt;出生医学证明&gt;登记信息的规定》（吉母婴法证件办发〔2016〕1号） </w:t>
            </w:r>
            <w:r>
              <w:rPr>
                <w:rFonts w:hint="eastAsia" w:ascii="宋体" w:hAnsi="宋体" w:cs="Calibri"/>
                <w:color w:val="000000" w:themeColor="text1"/>
                <w:kern w:val="0"/>
                <w:sz w:val="18"/>
                <w:szCs w:val="18"/>
                <w:lang w:val="ru-RU"/>
              </w:rPr>
              <w:t xml:space="preserve"> 一、部队官兵子女《出生医学证明》登记信息为父母的军官证（士兵证）号码，要求更改为公民身份证号码者，需要提供一下材料：（四）由军官（子女）所在部队提供的原《出生医学证明》父母军官证（士兵证）号码与需求更改的公民身份证为同一人的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1.用于公司法定代表人、股东、发起人、董事、经理、监事更改姓名，证明其户口登记项目内容变更更正</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公安派出所</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vMerge w:val="restart"/>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仅适用于公民更正或者变更姓名、性别、民族成份、出生日期、公民身份号码等</w:t>
            </w:r>
            <w:r>
              <w:rPr>
                <w:rFonts w:ascii="宋体" w:hAnsi="宋体"/>
                <w:color w:val="000000" w:themeColor="text1"/>
                <w:sz w:val="18"/>
                <w:szCs w:val="18"/>
              </w:rPr>
              <w:t>5</w:t>
            </w:r>
            <w:r>
              <w:rPr>
                <w:rFonts w:hint="eastAsia" w:ascii="宋体" w:hAnsi="宋体"/>
                <w:color w:val="000000" w:themeColor="text1"/>
                <w:sz w:val="18"/>
                <w:szCs w:val="18"/>
              </w:rPr>
              <w:t>项户口登记项目内容，或者因户口迁移，凭居民户口簿无法证明的事项，需要开具相应证明的情况。需要公安部门证明为同一人的，由有关部门和单位负责核查，公安部门根据职责提供必要协助。其他需要原单位、原主管部门或其他单位证明为同一人的原则上也采取公对公核查方式进行（使领馆认证的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25"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2.用于不动产登记和银行业务，证明其户口登记项目内容变更更正</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公安派出所</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不动产登记部门、银行</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9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3.用于不动产登记与信息查询，证明境外自然人身份真实性，为同一人</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中国驻外国大使馆或外国驻中国大使馆</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不动产登记部门</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4.用于《出生医学证明》信息（</w:t>
            </w:r>
            <w:r>
              <w:rPr>
                <w:rFonts w:hint="eastAsia" w:ascii="宋体" w:hAnsi="宋体" w:cs="Calibri"/>
                <w:color w:val="000000" w:themeColor="text1"/>
                <w:kern w:val="0"/>
                <w:sz w:val="18"/>
                <w:szCs w:val="18"/>
                <w:lang w:val="ru-RU"/>
              </w:rPr>
              <w:t>公民身份证号码）</w:t>
            </w:r>
            <w:r>
              <w:rPr>
                <w:rFonts w:hint="eastAsia" w:ascii="宋体" w:hAnsi="宋体"/>
                <w:color w:val="000000" w:themeColor="text1"/>
                <w:sz w:val="18"/>
                <w:szCs w:val="18"/>
              </w:rPr>
              <w:t>变更业务，证明</w:t>
            </w:r>
            <w:r>
              <w:rPr>
                <w:rFonts w:hint="eastAsia" w:ascii="宋体" w:hAnsi="宋体" w:cs="Calibri"/>
                <w:color w:val="000000" w:themeColor="text1"/>
                <w:kern w:val="0"/>
                <w:sz w:val="18"/>
                <w:szCs w:val="18"/>
                <w:lang w:val="ru-RU"/>
              </w:rPr>
              <w:t>《出生医学证明》父母军官证（士兵证）号码与需求更改的公民身份证为同一人</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Calibri"/>
                <w:color w:val="000000" w:themeColor="text1"/>
                <w:kern w:val="0"/>
                <w:sz w:val="18"/>
                <w:szCs w:val="18"/>
                <w:lang w:val="ru-RU"/>
              </w:rPr>
              <w:t>军官（子女）所在部队</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市妇产医院</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5.用于出国留学公证，证明其户口登记项目内容变更更正</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公安派出所</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公证部门</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4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宋体"/>
                <w:color w:val="000000" w:themeColor="text1"/>
                <w:kern w:val="0"/>
                <w:sz w:val="18"/>
                <w:szCs w:val="18"/>
              </w:rPr>
              <w:t>6.用于社保业务，</w:t>
            </w:r>
            <w:r>
              <w:rPr>
                <w:rFonts w:hint="eastAsia" w:ascii="宋体" w:hAnsi="宋体"/>
                <w:color w:val="000000" w:themeColor="text1"/>
                <w:sz w:val="18"/>
                <w:szCs w:val="18"/>
              </w:rPr>
              <w:t>证明其户口登记项目内容变更更正</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宋体"/>
                <w:color w:val="000000" w:themeColor="text1"/>
                <w:kern w:val="0"/>
                <w:sz w:val="18"/>
                <w:szCs w:val="18"/>
              </w:rPr>
              <w:t>退休职工原主管部门、原单位及公安派出所</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市社保局、市人社局</w:t>
            </w: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48"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1613" w:type="dxa"/>
            <w:vMerge w:val="restart"/>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亲属关系证明</w:t>
            </w:r>
          </w:p>
        </w:tc>
        <w:tc>
          <w:tcPr>
            <w:tcW w:w="3642" w:type="dxa"/>
            <w:vMerge w:val="restart"/>
            <w:tcBorders>
              <w:tl2br w:val="nil"/>
              <w:tr2bl w:val="nil"/>
            </w:tcBorders>
            <w:tcMar>
              <w:left w:w="85" w:type="dxa"/>
              <w:right w:w="85" w:type="dxa"/>
            </w:tcMar>
            <w:vAlign w:val="center"/>
          </w:tcPr>
          <w:p>
            <w:pPr>
              <w:spacing w:line="300" w:lineRule="exact"/>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1.《吉林省公安厅&lt;关于改进公安派出所出具证明有关事项的通知&gt;》(</w:t>
            </w:r>
            <w:r>
              <w:rPr>
                <w:rFonts w:ascii="宋体" w:hAnsi="宋体"/>
                <w:color w:val="000000" w:themeColor="text1"/>
                <w:kern w:val="0"/>
                <w:sz w:val="18"/>
                <w:szCs w:val="18"/>
                <w:lang w:val="ru-RU"/>
              </w:rPr>
              <w:t>吉公办字﹝2015﹞56号</w:t>
            </w:r>
            <w:r>
              <w:rPr>
                <w:rFonts w:hint="eastAsia" w:ascii="宋体" w:hAnsi="宋体"/>
                <w:color w:val="000000" w:themeColor="text1"/>
                <w:kern w:val="0"/>
                <w:sz w:val="18"/>
                <w:szCs w:val="18"/>
                <w:lang w:val="ru-RU"/>
              </w:rPr>
              <w:t>) 三（一）</w:t>
            </w:r>
            <w:r>
              <w:rPr>
                <w:rFonts w:ascii="宋体" w:hAnsi="宋体"/>
                <w:color w:val="000000" w:themeColor="text1"/>
                <w:kern w:val="0"/>
                <w:sz w:val="18"/>
                <w:szCs w:val="18"/>
                <w:lang w:val="ru-RU"/>
              </w:rPr>
              <w:t xml:space="preserve"> </w:t>
            </w:r>
            <w:r>
              <w:rPr>
                <w:rFonts w:hint="eastAsia" w:ascii="宋体" w:hAnsi="宋体"/>
                <w:color w:val="000000" w:themeColor="text1"/>
                <w:kern w:val="0"/>
                <w:sz w:val="18"/>
                <w:szCs w:val="18"/>
                <w:lang w:val="ru-RU"/>
              </w:rPr>
              <w:t>明确公安派出所出具证明的范围，公安派出所应当出具的证明包括以下5类，共9种，分别是：1、亲属关系证明（仅限于曾经同户人员之间证明亲属关系）。2、户口登记项目（姓名、性别、民族、出生日期、公民身份号码）变更更正证明。3、非正常死亡证明</w:t>
            </w:r>
          </w:p>
          <w:p>
            <w:pPr>
              <w:spacing w:line="300" w:lineRule="exact"/>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2.《关于改进和规范公安派出所出具证明工作的意见》（公通字〔2016〕21号）二之3.亲属关系证明。曾经同户人员间的亲属关系，历史户籍档案能够反应，需要开具证明的，公安派出所在核实后应当开具</w:t>
            </w:r>
          </w:p>
          <w:p>
            <w:pPr>
              <w:spacing w:line="320" w:lineRule="exact"/>
              <w:rPr>
                <w:rFonts w:ascii="宋体" w:hAnsi="宋体"/>
                <w:color w:val="000000" w:themeColor="text1"/>
                <w:kern w:val="0"/>
                <w:sz w:val="18"/>
                <w:szCs w:val="18"/>
                <w:lang w:val="ru-RU"/>
              </w:rPr>
            </w:pPr>
            <w:r>
              <w:rPr>
                <w:rFonts w:hint="eastAsia" w:ascii="宋体" w:hAnsi="宋体"/>
                <w:color w:val="000000" w:themeColor="text1"/>
                <w:kern w:val="0"/>
                <w:sz w:val="18"/>
                <w:szCs w:val="18"/>
              </w:rPr>
              <w:t>4</w:t>
            </w:r>
            <w:r>
              <w:rPr>
                <w:rFonts w:hint="eastAsia" w:ascii="宋体" w:hAnsi="宋体"/>
                <w:color w:val="000000" w:themeColor="text1"/>
                <w:kern w:val="0"/>
                <w:sz w:val="18"/>
                <w:szCs w:val="18"/>
                <w:lang w:val="ru-RU"/>
              </w:rPr>
              <w:t>.《不动产登记操作规范（试行）》（国土资规﹝2016﹞6号1.8.6.1申请人提交的申请材料包括：3 所有继承人或受遗赠人与被继承人或遗赠人之间的亲属关系证明，包括户口簿、婚姻证明、收养证明、出生医学证明，公安机关以及村委会、居委会、被继承人或继承人单位出具的证明材料，其他能够证明相关亲属关系的材料等</w:t>
            </w:r>
          </w:p>
          <w:p>
            <w:pPr>
              <w:spacing w:line="320" w:lineRule="exact"/>
              <w:rPr>
                <w:rFonts w:ascii="宋体" w:hAnsi="宋体" w:cs="Calibri"/>
                <w:bCs/>
                <w:color w:val="000000" w:themeColor="text1"/>
                <w:kern w:val="0"/>
                <w:sz w:val="18"/>
                <w:szCs w:val="18"/>
                <w:lang w:val="ru-RU"/>
              </w:rPr>
            </w:pPr>
            <w:r>
              <w:rPr>
                <w:rFonts w:hint="eastAsia" w:ascii="宋体" w:hAnsi="宋体" w:cs="Calibri"/>
                <w:bCs/>
                <w:color w:val="000000" w:themeColor="text1"/>
                <w:kern w:val="0"/>
                <w:sz w:val="18"/>
                <w:szCs w:val="18"/>
              </w:rPr>
              <w:t>5</w:t>
            </w:r>
            <w:r>
              <w:rPr>
                <w:rFonts w:hint="eastAsia" w:ascii="宋体" w:hAnsi="宋体" w:cs="Calibri"/>
                <w:bCs/>
                <w:color w:val="000000" w:themeColor="text1"/>
                <w:kern w:val="0"/>
                <w:sz w:val="18"/>
                <w:szCs w:val="18"/>
                <w:lang w:val="ru-RU"/>
              </w:rPr>
              <w:t>.《个人外汇管理办法实施细则》第三十八条：个人委托其直系亲属代为办理年度总额内的购汇、结汇，应分别提供委托人和受托人的有效身份证件、委托人授权书、直系亲属关系证明。</w:t>
            </w:r>
            <w:r>
              <w:rPr>
                <w:rFonts w:ascii="宋体" w:hAnsi="宋体" w:cs="宋体"/>
                <w:color w:val="000000" w:themeColor="text1"/>
                <w:kern w:val="0"/>
                <w:sz w:val="18"/>
                <w:szCs w:val="18"/>
              </w:rPr>
              <w:t>直系亲属指父母、子女、配偶。直系亲属关系证明指能证明直系亲属关系的户口簿、结婚证或街道办事处等政府基层组</w:t>
            </w:r>
            <w:r>
              <w:rPr>
                <w:rFonts w:ascii="宋体" w:hAnsi="宋体" w:cs="Calibri"/>
                <w:bCs/>
                <w:color w:val="000000" w:themeColor="text1"/>
                <w:kern w:val="0"/>
                <w:sz w:val="18"/>
                <w:szCs w:val="18"/>
                <w:lang w:val="ru-RU"/>
              </w:rPr>
              <w:t>织或公安部门、公证部门出具的有效亲属关系证明</w:t>
            </w:r>
          </w:p>
          <w:p>
            <w:pPr>
              <w:spacing w:line="320" w:lineRule="exact"/>
              <w:rPr>
                <w:rFonts w:ascii="宋体" w:hAnsi="宋体" w:cs="Calibri"/>
                <w:bCs/>
                <w:color w:val="000000" w:themeColor="text1"/>
                <w:kern w:val="0"/>
                <w:sz w:val="18"/>
                <w:szCs w:val="18"/>
                <w:lang w:val="ru-RU"/>
              </w:rPr>
            </w:pPr>
            <w:r>
              <w:rPr>
                <w:rFonts w:hint="eastAsia" w:ascii="宋体" w:hAnsi="宋体" w:cs="Calibri"/>
                <w:bCs/>
                <w:color w:val="FF0000"/>
                <w:kern w:val="0"/>
                <w:sz w:val="18"/>
                <w:szCs w:val="18"/>
              </w:rPr>
              <w:t>6</w:t>
            </w:r>
            <w:r>
              <w:rPr>
                <w:rFonts w:hint="eastAsia" w:ascii="宋体" w:hAnsi="宋体" w:cs="Calibri"/>
                <w:bCs/>
                <w:color w:val="FF0000"/>
                <w:kern w:val="0"/>
                <w:sz w:val="18"/>
                <w:szCs w:val="18"/>
                <w:lang w:val="ru-RU"/>
              </w:rPr>
              <w:t>.《吉林市</w:t>
            </w:r>
            <w:r>
              <w:rPr>
                <w:rFonts w:ascii="宋体" w:hAnsi="宋体" w:cs="Calibri"/>
                <w:bCs/>
                <w:color w:val="FF0000"/>
                <w:kern w:val="0"/>
                <w:sz w:val="18"/>
                <w:szCs w:val="18"/>
                <w:lang w:val="ru-RU"/>
              </w:rPr>
              <w:t>无偿献血条例</w:t>
            </w:r>
            <w:r>
              <w:rPr>
                <w:rFonts w:hint="eastAsia" w:ascii="宋体" w:hAnsi="宋体" w:cs="Calibri"/>
                <w:bCs/>
                <w:color w:val="FF0000"/>
                <w:kern w:val="0"/>
                <w:sz w:val="18"/>
                <w:szCs w:val="18"/>
                <w:lang w:val="ru-RU"/>
              </w:rPr>
              <w:t>》</w:t>
            </w:r>
            <w:r>
              <w:rPr>
                <w:rFonts w:hint="eastAsia" w:ascii="宋体" w:hAnsi="宋体" w:cs="Calibri"/>
                <w:bCs/>
                <w:color w:val="000000" w:themeColor="text1"/>
                <w:kern w:val="0"/>
                <w:sz w:val="18"/>
                <w:szCs w:val="18"/>
                <w:lang w:val="ru-RU"/>
              </w:rPr>
              <w:t>(2014年8月29日吉林市第十五届人大常委会第13次会议通过2014年11月28日吉林省第十二届人大常委会第13次会议批准)</w:t>
            </w:r>
            <w:r>
              <w:rPr>
                <w:rFonts w:ascii="宋体" w:hAnsi="宋体" w:cs="Calibri"/>
                <w:bCs/>
                <w:color w:val="000000" w:themeColor="text1"/>
                <w:kern w:val="0"/>
                <w:sz w:val="18"/>
                <w:szCs w:val="18"/>
                <w:lang w:val="ru-RU"/>
              </w:rPr>
              <w:t>第十七条　在本市献血的献血者及其配偶、父母、子女在本地或者异地临床用血的，可按照本条例第十条规定的免费用血量，到市中心血站报销用血费用。报销时应当提供下列材料：（二）献血者配偶、父母、子女用血的，提供献血者身份证、用血者身份证、献血证、户口簿或者公安机关出具的亲属关系证明和医疗机构临床用血收据的原件及复印件</w:t>
            </w:r>
          </w:p>
          <w:p>
            <w:pPr>
              <w:spacing w:line="320" w:lineRule="exact"/>
              <w:rPr>
                <w:rFonts w:ascii="宋体" w:hAnsi="宋体"/>
                <w:color w:val="000000" w:themeColor="text1"/>
                <w:kern w:val="0"/>
                <w:sz w:val="18"/>
                <w:szCs w:val="18"/>
                <w:lang w:val="ru-RU"/>
              </w:rPr>
            </w:pPr>
            <w:r>
              <w:rPr>
                <w:rFonts w:hint="eastAsia" w:ascii="宋体" w:hAnsi="宋体"/>
                <w:color w:val="000000" w:themeColor="text1"/>
                <w:kern w:val="0"/>
                <w:sz w:val="18"/>
                <w:szCs w:val="18"/>
              </w:rPr>
              <w:t>7</w:t>
            </w:r>
            <w:r>
              <w:rPr>
                <w:rFonts w:hint="eastAsia" w:ascii="宋体" w:hAnsi="宋体"/>
                <w:color w:val="000000" w:themeColor="text1"/>
                <w:kern w:val="0"/>
                <w:sz w:val="18"/>
                <w:szCs w:val="18"/>
                <w:lang w:val="ru-RU"/>
              </w:rPr>
              <w:t>.</w:t>
            </w:r>
            <w:r>
              <w:rPr>
                <w:rFonts w:hint="eastAsia" w:ascii="宋体" w:hAnsi="宋体" w:cs="Calibri"/>
                <w:bCs/>
                <w:color w:val="000000" w:themeColor="text1"/>
                <w:kern w:val="0"/>
                <w:sz w:val="18"/>
                <w:szCs w:val="18"/>
                <w:lang w:val="ru-RU"/>
              </w:rPr>
              <w:t>《中国公民收养子女登记办法》第六条 生父母为送养人的，……子女由三代以内同辈旁系血亲收养的，还应当提交公安机关出具父母为送养人的，……子女由三代以内同辈旁系血亲收养的，还应当提交公安机关出具的或者经过公证的与收养人有亲属关系的证明</w:t>
            </w:r>
          </w:p>
        </w:tc>
        <w:tc>
          <w:tcPr>
            <w:tcW w:w="572" w:type="dxa"/>
            <w:tcBorders>
              <w:tl2br w:val="nil"/>
              <w:tr2bl w:val="nil"/>
            </w:tcBorders>
            <w:tcMar>
              <w:left w:w="85" w:type="dxa"/>
              <w:right w:w="85" w:type="dxa"/>
            </w:tcMar>
            <w:vAlign w:val="center"/>
          </w:tcPr>
          <w:p>
            <w:pPr>
              <w:jc w:val="center"/>
              <w:rPr>
                <w:rFonts w:ascii="宋体" w:hAnsi="宋体"/>
                <w:color w:val="000000" w:themeColor="text1"/>
                <w:kern w:val="0"/>
                <w:sz w:val="18"/>
                <w:szCs w:val="18"/>
                <w:lang w:val="ru-RU"/>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1.用于办理继承、出国留学、定居类公证</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户籍地公安派出所</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公证部门</w:t>
            </w:r>
          </w:p>
        </w:tc>
        <w:tc>
          <w:tcPr>
            <w:tcW w:w="1527" w:type="dxa"/>
            <w:vMerge w:val="restart"/>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r>
              <w:rPr>
                <w:rFonts w:hint="eastAsia" w:ascii="宋体" w:hAnsi="宋体"/>
                <w:color w:val="000000" w:themeColor="text1"/>
                <w:kern w:val="0"/>
                <w:sz w:val="18"/>
                <w:szCs w:val="18"/>
                <w:lang w:val="ru-RU"/>
              </w:rPr>
              <w:t>自身提供的户口簿、婚姻证明材料、收养证明文件、出生医学证明等证明材料能证明的不再提供该证明。公安派出所开局开具的亲属关系证明仅适用于户口簿无法证明亲属关系的曾经同户人员之间的情形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4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2.用于办理不动产继承登记</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户籍地公安派出所</w:t>
            </w:r>
            <w:r>
              <w:rPr>
                <w:rFonts w:hint="eastAsia" w:ascii="宋体" w:hAnsi="宋体"/>
                <w:color w:val="000000" w:themeColor="text1"/>
                <w:kern w:val="0"/>
                <w:sz w:val="18"/>
                <w:szCs w:val="18"/>
                <w:lang w:val="ru-RU"/>
              </w:rPr>
              <w:t>，被继承人用人单位、继承人用人单位、居（村）委员会、公证处</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市国土局，县（市）区、开发区住建部门</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6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shd w:val="pct10" w:color="auto" w:fill="FFFFFF"/>
                <w:lang w:val="ru-RU"/>
              </w:rPr>
            </w:pPr>
            <w:r>
              <w:rPr>
                <w:rFonts w:hint="eastAsia" w:ascii="宋体" w:hAnsi="宋体" w:cs="Calibri"/>
                <w:color w:val="000000" w:themeColor="text1"/>
                <w:kern w:val="0"/>
                <w:sz w:val="18"/>
                <w:szCs w:val="18"/>
                <w:lang w:val="ru-RU"/>
              </w:rPr>
              <w:t>3.用于办理银行业务，证明直系亲属关系</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shd w:val="pct10" w:color="auto" w:fill="FFFFFF"/>
                <w:lang w:val="ru-RU"/>
              </w:rPr>
            </w:pPr>
            <w:r>
              <w:rPr>
                <w:rFonts w:hint="eastAsia" w:ascii="宋体" w:hAnsi="宋体" w:cs="Calibri"/>
                <w:color w:val="000000" w:themeColor="text1"/>
                <w:kern w:val="0"/>
                <w:sz w:val="18"/>
                <w:szCs w:val="18"/>
                <w:lang w:val="ru-RU"/>
              </w:rPr>
              <w:t>公安部门或街道办事处等政府基层组织</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s="Calibri"/>
                <w:color w:val="000000" w:themeColor="text1"/>
                <w:kern w:val="0"/>
                <w:sz w:val="18"/>
                <w:szCs w:val="18"/>
                <w:lang w:val="ru-RU"/>
              </w:rPr>
              <w:t>银行</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59"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4.</w:t>
            </w:r>
            <w:r>
              <w:rPr>
                <w:rFonts w:hint="eastAsia" w:ascii="宋体" w:hAnsi="宋体" w:cs="Calibri"/>
                <w:color w:val="000000" w:themeColor="text1"/>
                <w:kern w:val="0"/>
                <w:sz w:val="18"/>
                <w:szCs w:val="18"/>
                <w:lang w:val="ru-RU"/>
              </w:rPr>
              <w:t>用于市中心血站报销</w:t>
            </w:r>
            <w:r>
              <w:rPr>
                <w:rFonts w:ascii="宋体" w:hAnsi="宋体" w:cs="Calibri"/>
                <w:color w:val="000000" w:themeColor="text1"/>
                <w:kern w:val="0"/>
                <w:sz w:val="18"/>
                <w:szCs w:val="18"/>
                <w:lang w:val="ru-RU"/>
              </w:rPr>
              <w:t>用血费用</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户籍地公安派出所</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中心血站</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2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5.用于生父母为送养人且收养人为三代以内同辈旁系血亲办理送养手续</w:t>
            </w:r>
          </w:p>
        </w:tc>
        <w:tc>
          <w:tcPr>
            <w:tcW w:w="196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公安机关</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市、县（市）区民政部门</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5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6.用办理于高校毕业生申领求职创业补贴、申领助学贷款代偿</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户籍地公安派出所</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市人社局</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7.用于办理社保业务</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户籍地公安派出所</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lang w:val="ru-RU"/>
              </w:rPr>
              <w:t>社保部门</w:t>
            </w:r>
          </w:p>
        </w:tc>
        <w:tc>
          <w:tcPr>
            <w:tcW w:w="1527"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1613" w:type="dxa"/>
            <w:vMerge w:val="restart"/>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资金信用证明</w:t>
            </w:r>
          </w:p>
          <w:p>
            <w:pPr>
              <w:jc w:val="center"/>
              <w:rPr>
                <w:rFonts w:ascii="宋体" w:hAnsi="宋体" w:cs="楷体_GB2312"/>
                <w:color w:val="000000" w:themeColor="text1"/>
                <w:kern w:val="0"/>
                <w:sz w:val="18"/>
                <w:szCs w:val="18"/>
                <w:lang w:val="ru-RU"/>
              </w:rPr>
            </w:pPr>
            <w:r>
              <w:rPr>
                <w:rFonts w:hint="eastAsia" w:ascii="宋体" w:hAnsi="宋体" w:cs="宋体"/>
                <w:color w:val="000000" w:themeColor="text1"/>
                <w:kern w:val="0"/>
                <w:sz w:val="18"/>
                <w:szCs w:val="18"/>
              </w:rPr>
              <w:t>（资金证明或资信证明）</w:t>
            </w:r>
          </w:p>
        </w:tc>
        <w:tc>
          <w:tcPr>
            <w:tcW w:w="3642" w:type="dxa"/>
            <w:vMerge w:val="restart"/>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1.《国土资源部和城乡建设部关于进一步加强房地产用地和建设管理调控的通知》（国土资发〔2010〕151号）第四条第三项规定，国土资源管理部门对竞买人参加招拍挂出让土地时，除应要求提供有效身份证明文件、缴纳竞买（投标）保证金外，还应提交竞买（投标）保障金不属于银行贷款、股东借款、转贷和募集资金的承诺书及商业金融机构的资信证明</w:t>
            </w:r>
          </w:p>
          <w:p>
            <w:pPr>
              <w:spacing w:line="31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2.《建筑工程施工许可管理办法》（中华人民共和国住房和城乡建设部令第18号） 第四条 建设单位申请领取施工许可证，应当具备下列条件，并提交相应的证明文件：（八）建设单位应当提供本单位截至申请之日无拖欠工程款情形的承诺书或者能够表明其无拖欠工程款情形的其他材料，以及银行出具的到位资金证明，有条件的可以实行银行付款保函或者其他第三方担保</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3.《吉林省建筑市场管理条例》第十一条 建设工程项目发包前，建设单位应当将下列内容向建设行政主管部门备案：(七)银行资信证明</w:t>
            </w:r>
          </w:p>
          <w:p>
            <w:pPr>
              <w:spacing w:line="31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4.《医疗机构管理条例实施细则》</w:t>
            </w:r>
            <w:r>
              <w:rPr>
                <w:rFonts w:ascii="宋体" w:hAnsi="宋体" w:cs="宋体"/>
                <w:color w:val="000000" w:themeColor="text1"/>
                <w:kern w:val="0"/>
                <w:sz w:val="18"/>
                <w:szCs w:val="18"/>
              </w:rPr>
              <w:t>第十五条</w:t>
            </w:r>
            <w:r>
              <w:rPr>
                <w:rFonts w:hint="eastAsia" w:ascii="宋体" w:hAnsi="宋体" w:cs="宋体"/>
                <w:color w:val="000000" w:themeColor="text1"/>
                <w:kern w:val="0"/>
                <w:sz w:val="18"/>
                <w:szCs w:val="18"/>
              </w:rPr>
              <w:t xml:space="preserve"> </w:t>
            </w:r>
            <w:r>
              <w:rPr>
                <w:rFonts w:ascii="宋体" w:hAnsi="宋体" w:cs="宋体"/>
                <w:color w:val="000000" w:themeColor="text1"/>
                <w:kern w:val="0"/>
                <w:sz w:val="18"/>
                <w:szCs w:val="18"/>
              </w:rPr>
              <w:t>条例第十条规定提交的设置可行性研究报告包括以下内容：（二）所在地区的人口、经济和社会发展等概况；</w:t>
            </w:r>
            <w:r>
              <w:rPr>
                <w:rFonts w:hint="eastAsia" w:ascii="宋体" w:hAnsi="宋体" w:cs="宋体"/>
                <w:color w:val="000000" w:themeColor="text1"/>
                <w:kern w:val="0"/>
                <w:sz w:val="18"/>
                <w:szCs w:val="18"/>
              </w:rPr>
              <w:t>……</w:t>
            </w:r>
            <w:r>
              <w:rPr>
                <w:rFonts w:ascii="宋体" w:hAnsi="宋体" w:cs="宋体"/>
                <w:color w:val="000000" w:themeColor="text1"/>
                <w:kern w:val="0"/>
                <w:sz w:val="18"/>
                <w:szCs w:val="18"/>
              </w:rPr>
              <w:t>并附申请设计单位或者设置人的资信证明</w:t>
            </w:r>
          </w:p>
          <w:p>
            <w:pPr>
              <w:spacing w:line="29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5.《工商总局等六部门关于贯彻落实&lt;国务院办公厅关于加快推进“三证合一”登记制度改革的意见&gt;的通知》（工商企注字2015﹞121号）外商投资企业登记提交材料规范﹝5﹞（非公司）外商投资企业设立登记提交材料规范6.投资者的合法开业证明和资信证明。﹝13﹞外商投资合伙企业变更登记提交材料规范◆变更合伙人承担责任方式，如外国合伙人由有限合伙人变更为普通合伙人的，还应当提交资信证明。如新入伙的外国合伙人为普通合伙人，还应提交资信证明，即由与该外国合伙人有业务往来的金融机构出具的资本信用证明书。﹝22﹞外国（地区）企业常驻代表机构设立登记提交材料规范7.同外国（地区）企业有业务往来的金融机构出具的资信证明﹝23﹞外国（地区）企业常驻代表机构变更登记（备案）提交材料规范◆代表机构名称变更，提供外国（地区）企业存续2年以上的合法营业证明及同外国（地区）企业有业务往来的金融机构出具的资信证明。◆驻在期限变更，提供外国（地区）企业存续2年以上的合法营业证明复印件和资信证明</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6.《外商投资合伙企业登记管理规定》（国家工商行政管理总局令第47号，根据2014年2月20日国家工商行政管理总局令第63号修订）第12条设立外商投资合伙企业……（八）与外国合伙人有业务往来的金融机构出具的资信证明</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7.《外国企业常驻代表机构登记管理条例》（中华人民共和国国务院令第584号，根据《国务院关于废止和修改部分行政法规的决定》第638号文件修改）第23条外国企业申请设立代表机构，应当向登记机关提交下列文件、材料......（六）同外国企业有业务往来的金融机构出具的资金信用证明</w:t>
            </w:r>
          </w:p>
          <w:p>
            <w:pPr>
              <w:spacing w:line="29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8.《中华人民共和国企业法人登记管理条例施行细则》第二十九条　申请企业法人登记，应按《条例》第十五条（一）至（七）项规定提交文件、证件。企业章程应经主管部门审查同意。资金信用证明是财政部门证明全民所有制企业资金数额的文件。验资证明是会计师事务所或者审计事务所及其他具有验资资格的机构出具的证明资金真实性的文件</w:t>
            </w:r>
          </w:p>
          <w:p>
            <w:pPr>
              <w:spacing w:line="29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9.《中华人民共和国企业法人登记管理条例施行细则》第三十六条 企业法人实有资金比原注册资金数额增加或者减少超过20%时，应持资金信用证明或者验资证明，向原登记主管机关申请变更登记</w:t>
            </w:r>
          </w:p>
          <w:p>
            <w:pPr>
              <w:pStyle w:val="2"/>
              <w:shd w:val="clear" w:color="auto" w:fill="FFFFFF"/>
              <w:spacing w:before="0" w:after="0" w:line="310" w:lineRule="exact"/>
              <w:rPr>
                <w:rStyle w:val="27"/>
                <w:rFonts w:ascii="宋体" w:hAnsi="宋体" w:cs="楷体_GB2312"/>
                <w:b w:val="0"/>
                <w:color w:val="000000" w:themeColor="text1"/>
                <w:sz w:val="18"/>
                <w:szCs w:val="18"/>
              </w:rPr>
            </w:pPr>
            <w:r>
              <w:rPr>
                <w:rFonts w:hint="eastAsia" w:ascii="宋体" w:hAnsi="宋体" w:cs="宋体"/>
                <w:b w:val="0"/>
                <w:bCs w:val="0"/>
                <w:color w:val="000000" w:themeColor="text1"/>
                <w:kern w:val="0"/>
                <w:sz w:val="18"/>
                <w:szCs w:val="18"/>
              </w:rPr>
              <w:t>10.《</w:t>
            </w:r>
            <w:r>
              <w:rPr>
                <w:rFonts w:ascii="宋体" w:hAnsi="宋体" w:cs="宋体"/>
                <w:b w:val="0"/>
                <w:bCs w:val="0"/>
                <w:color w:val="000000" w:themeColor="text1"/>
                <w:kern w:val="0"/>
                <w:sz w:val="18"/>
                <w:szCs w:val="18"/>
              </w:rPr>
              <w:t>事业单位登记管理暂行条例</w:t>
            </w:r>
            <w:r>
              <w:rPr>
                <w:rFonts w:hint="eastAsia" w:ascii="宋体" w:hAnsi="宋体" w:cs="宋体"/>
                <w:b w:val="0"/>
                <w:bCs w:val="0"/>
                <w:color w:val="000000" w:themeColor="text1"/>
                <w:kern w:val="0"/>
                <w:sz w:val="18"/>
                <w:szCs w:val="18"/>
              </w:rPr>
              <w:t>》</w:t>
            </w:r>
            <w:r>
              <w:rPr>
                <w:rFonts w:ascii="宋体" w:hAnsi="宋体" w:cs="宋体"/>
                <w:b w:val="0"/>
                <w:bCs w:val="0"/>
                <w:color w:val="000000" w:themeColor="text1"/>
                <w:kern w:val="0"/>
                <w:sz w:val="18"/>
                <w:szCs w:val="18"/>
              </w:rPr>
              <w:t>第七条申请事业单位法人登记，应当向登记管理机关提交下列文件:(一)登记申请书;(二)审批机关的批准文件;(三)场所使用权证明;(四)经费来源证明;(五)其他有关证明文件</w:t>
            </w:r>
          </w:p>
        </w:tc>
        <w:tc>
          <w:tcPr>
            <w:tcW w:w="572" w:type="dxa"/>
            <w:tcBorders>
              <w:tl2br w:val="nil"/>
              <w:tr2bl w:val="nil"/>
            </w:tcBorders>
            <w:tcMar>
              <w:left w:w="85" w:type="dxa"/>
              <w:right w:w="85" w:type="dxa"/>
            </w:tcMar>
            <w:vAlign w:val="center"/>
          </w:tcPr>
          <w:p>
            <w:pPr>
              <w:jc w:val="center"/>
              <w:rPr>
                <w:rFonts w:ascii="宋体" w:hAnsi="宋体" w:cs="楷体_GB2312"/>
                <w:color w:val="000000" w:themeColor="text1"/>
                <w:kern w:val="0"/>
                <w:sz w:val="18"/>
                <w:szCs w:val="18"/>
                <w:lang w:val="ru-RU"/>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1.用于土地竞买资格审查</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商业金融机构</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市国土局</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2.用于办理建筑工程施工许可证和建设工程项目备案</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银行</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市建委、县（市）区开发区建设管理部门</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根据国务院常务会议精神，办理建筑工程施工许可证所需的资金到位证明保留至2018年底，具体执行时间以国家、省文件为准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8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3.用于办理医疗机构设置审批，证明申请设计单位或者设置人的资信</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金融机构</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市卫计委</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4"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4.用于办理外商投资企业设立审批，证明其资信</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与外国合伙人有业务往来的金融机构</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9"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5.用于企业法人设立登记，证明证明其资信</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财政部门</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县（市）区、开发区市场监督部门</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1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10" w:lineRule="exact"/>
              <w:rPr>
                <w:rFonts w:ascii="宋体" w:hAnsi="宋体" w:cs="宋体"/>
                <w:color w:val="000000" w:themeColor="text1"/>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6.用于企业法人减资超过20%的变更登记，证明其资信</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财政部门</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县（市）区市场监督部门</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4"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1613" w:type="dxa"/>
            <w:vMerge w:val="restart"/>
            <w:tcBorders>
              <w:tl2br w:val="nil"/>
              <w:tr2bl w:val="nil"/>
            </w:tcBorders>
            <w:tcMar>
              <w:left w:w="85" w:type="dxa"/>
              <w:right w:w="85" w:type="dxa"/>
            </w:tcMar>
            <w:vAlign w:val="center"/>
          </w:tcPr>
          <w:p>
            <w:pPr>
              <w:jc w:val="center"/>
              <w:rPr>
                <w:rFonts w:ascii="宋体" w:hAnsi="宋体" w:cs="Calibri"/>
                <w:color w:val="000000" w:themeColor="text1"/>
                <w:kern w:val="0"/>
                <w:sz w:val="18"/>
                <w:szCs w:val="18"/>
                <w:lang w:val="ru-RU"/>
              </w:rPr>
            </w:pPr>
            <w:r>
              <w:rPr>
                <w:rFonts w:hint="eastAsia" w:ascii="宋体" w:hAnsi="宋体"/>
                <w:color w:val="000000" w:themeColor="text1"/>
                <w:sz w:val="18"/>
                <w:szCs w:val="18"/>
              </w:rPr>
              <w:t>注销户口证明</w:t>
            </w:r>
          </w:p>
        </w:tc>
        <w:tc>
          <w:tcPr>
            <w:tcW w:w="3642" w:type="dxa"/>
            <w:vMerge w:val="restart"/>
            <w:tcBorders>
              <w:tl2br w:val="nil"/>
              <w:tr2bl w:val="nil"/>
            </w:tcBorders>
            <w:tcMar>
              <w:left w:w="85" w:type="dxa"/>
              <w:right w:w="85" w:type="dxa"/>
            </w:tcMar>
            <w:vAlign w:val="center"/>
          </w:tcPr>
          <w:p>
            <w:pPr>
              <w:pStyle w:val="8"/>
              <w:spacing w:before="0" w:beforeAutospacing="0" w:after="0" w:afterAutospacing="0" w:line="310" w:lineRule="exact"/>
              <w:jc w:val="both"/>
              <w:rPr>
                <w:rFonts w:cs="Calibri"/>
                <w:color w:val="000000" w:themeColor="text1"/>
                <w:sz w:val="18"/>
                <w:szCs w:val="18"/>
              </w:rPr>
            </w:pPr>
            <w:r>
              <w:rPr>
                <w:rFonts w:hint="eastAsia" w:cs="Calibri"/>
                <w:color w:val="000000" w:themeColor="text1"/>
                <w:sz w:val="18"/>
                <w:szCs w:val="18"/>
                <w:lang w:val="ru-RU"/>
              </w:rPr>
              <w:t>1.《关于改进和规范公安派出所出具证明工作的意见》（公通字﹝2016﹞21号）二之</w:t>
            </w:r>
            <w:r>
              <w:rPr>
                <w:rFonts w:cs="Calibri"/>
                <w:color w:val="000000" w:themeColor="text1"/>
                <w:sz w:val="18"/>
                <w:szCs w:val="18"/>
                <w:lang w:val="ru-RU"/>
              </w:rPr>
              <w:t>2</w:t>
            </w:r>
            <w:r>
              <w:rPr>
                <w:rFonts w:hint="eastAsia" w:cs="Calibri"/>
                <w:color w:val="000000" w:themeColor="text1"/>
                <w:sz w:val="18"/>
                <w:szCs w:val="18"/>
                <w:lang w:val="ru-RU"/>
              </w:rPr>
              <w:t>、注销户口证明。公民因死亡、服现役、加入外国国籍、出国（境）定居、被判处徒刑注销户口，或者因重复（虚假）户口被注销，需要开具注销户口证明的，公安派出所应当出具</w:t>
            </w:r>
            <w:r>
              <w:rPr>
                <w:rFonts w:hint="eastAsia"/>
                <w:color w:val="000000" w:themeColor="text1"/>
                <w:sz w:val="18"/>
                <w:szCs w:val="18"/>
              </w:rPr>
              <w:t>2.《公证法》第十一条 申请人可以办理公证事项公证。第二十七条 申请办理的当事人应当向公证机构如实说明申请公证的事项的情况，提供真实、合法、充分的证明材料。提供的证明材料不充分的，公证机构可以要求补充。第二十八条 公证机构办理公证，应根据不同公证事项的办理规则分别审查提供的证明材料是否真实、合法、充分</w:t>
            </w:r>
          </w:p>
        </w:tc>
        <w:tc>
          <w:tcPr>
            <w:tcW w:w="572" w:type="dxa"/>
            <w:tcBorders>
              <w:tl2br w:val="nil"/>
              <w:tr2bl w:val="nil"/>
            </w:tcBorders>
            <w:tcMar>
              <w:left w:w="85" w:type="dxa"/>
              <w:right w:w="85" w:type="dxa"/>
            </w:tcMar>
            <w:vAlign w:val="center"/>
          </w:tcPr>
          <w:p>
            <w:pPr>
              <w:jc w:val="center"/>
              <w:rPr>
                <w:rFonts w:ascii="宋体" w:hAnsi="宋体" w:cs="Calibri"/>
                <w:color w:val="000000" w:themeColor="text1"/>
                <w:kern w:val="0"/>
                <w:sz w:val="18"/>
                <w:szCs w:val="18"/>
                <w:lang w:val="ru-RU"/>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s="Calibri"/>
                <w:color w:val="000000" w:themeColor="text1"/>
                <w:kern w:val="0"/>
                <w:sz w:val="18"/>
                <w:szCs w:val="18"/>
              </w:rPr>
            </w:pPr>
            <w:r>
              <w:rPr>
                <w:rFonts w:hint="eastAsia" w:ascii="宋体" w:hAnsi="宋体" w:cs="Calibri"/>
                <w:color w:val="000000" w:themeColor="text1"/>
                <w:kern w:val="0"/>
                <w:sz w:val="18"/>
                <w:szCs w:val="18"/>
                <w:lang w:val="ru-RU"/>
              </w:rPr>
              <w:t xml:space="preserve">1.用于办理存取款业务，证明存款人户口被注销情况 </w:t>
            </w:r>
          </w:p>
        </w:tc>
        <w:tc>
          <w:tcPr>
            <w:tcW w:w="196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公安派出所</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银行、公证部门</w:t>
            </w:r>
          </w:p>
        </w:tc>
        <w:tc>
          <w:tcPr>
            <w:tcW w:w="1527" w:type="dxa"/>
            <w:vMerge w:val="restart"/>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国籍发生变更的可使用此证明，也可使用中国驻外使领馆开具的相关证明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16"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pStyle w:val="8"/>
              <w:spacing w:before="0" w:beforeAutospacing="0" w:after="0" w:afterAutospacing="0"/>
              <w:jc w:val="both"/>
              <w:rPr>
                <w:rFonts w:cs="Calibri"/>
                <w:color w:val="000000" w:themeColor="text1"/>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s="Calibri"/>
                <w:color w:val="000000" w:themeColor="text1"/>
                <w:kern w:val="0"/>
                <w:sz w:val="18"/>
                <w:szCs w:val="18"/>
                <w:lang w:val="ru-RU"/>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2.用于办理继承、出国定居、死亡类公证，证明户口被注销</w:t>
            </w:r>
          </w:p>
        </w:tc>
        <w:tc>
          <w:tcPr>
            <w:tcW w:w="196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公安派出所</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银行、公证部门</w:t>
            </w:r>
          </w:p>
        </w:tc>
        <w:tc>
          <w:tcPr>
            <w:tcW w:w="1527" w:type="dxa"/>
            <w:vMerge w:val="continue"/>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0"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tc>
        <w:tc>
          <w:tcPr>
            <w:tcW w:w="1613" w:type="dxa"/>
            <w:vMerge w:val="restart"/>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财产权利证明</w:t>
            </w:r>
          </w:p>
          <w:p>
            <w:pPr>
              <w:jc w:val="center"/>
              <w:rPr>
                <w:rFonts w:ascii="宋体" w:hAnsi="宋体"/>
                <w:color w:val="000000" w:themeColor="text1"/>
                <w:sz w:val="18"/>
                <w:szCs w:val="18"/>
              </w:rPr>
            </w:pPr>
            <w:r>
              <w:rPr>
                <w:rFonts w:hint="eastAsia" w:ascii="宋体" w:hAnsi="宋体"/>
                <w:color w:val="000000" w:themeColor="text1"/>
                <w:sz w:val="18"/>
                <w:szCs w:val="18"/>
              </w:rPr>
              <w:t>（个人收入证明）</w:t>
            </w:r>
          </w:p>
        </w:tc>
        <w:tc>
          <w:tcPr>
            <w:tcW w:w="3642" w:type="dxa"/>
            <w:vMerge w:val="restart"/>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1.《公证法》第十一条 申请人可以办理公证事项公证。第二十七条 申请办理的当事人应当向公证机构如实说明申请公证的事项的情况，提供真实、合法、充分的证明材料。提供的证明材料不充分的，公证机构可以要求补充。第二十八条 公证机构办理公证，应根据不同公证事项的办理规则分别审查提供的证明材料是否真实、合法、充分</w:t>
            </w:r>
          </w:p>
          <w:p>
            <w:pPr>
              <w:rPr>
                <w:rFonts w:ascii="宋体" w:hAnsi="宋体"/>
                <w:color w:val="000000" w:themeColor="text1"/>
                <w:sz w:val="18"/>
                <w:szCs w:val="18"/>
              </w:rPr>
            </w:pPr>
            <w:r>
              <w:rPr>
                <w:rFonts w:hint="eastAsia" w:ascii="宋体" w:hAnsi="宋体"/>
                <w:color w:val="000000" w:themeColor="text1"/>
                <w:sz w:val="18"/>
                <w:szCs w:val="18"/>
              </w:rPr>
              <w:t>2.《公证程序规则》第十八条 自然人、法人、或者其他组织申请办理公证应当提交下列材料，第四款申请公证的事项的证明材料，涉及财产关系的须提交有关财产权利证明</w:t>
            </w:r>
          </w:p>
          <w:p>
            <w:pPr>
              <w:rPr>
                <w:rFonts w:ascii="宋体" w:hAnsi="宋体"/>
                <w:color w:val="000000" w:themeColor="text1"/>
                <w:sz w:val="18"/>
                <w:szCs w:val="18"/>
              </w:rPr>
            </w:pPr>
            <w:r>
              <w:rPr>
                <w:rFonts w:hint="eastAsia" w:ascii="宋体" w:hAnsi="宋体"/>
                <w:color w:val="000000" w:themeColor="text1"/>
                <w:sz w:val="18"/>
                <w:szCs w:val="18"/>
              </w:rPr>
              <w:t>3.《个人贷款管理暂行办法》（中国银行业监督管理委员会令2010年第2号）：第十二条 贷款人应要求借款人以书面形式提出个人贷款申请，并要求借款人提供能够证明其符合贷款条件的相关资料。第十四条 贷款调查包括但不限于以下内容：（一）借款人基本情况；（二）借款人收入情况</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1.用于办理出国旅游、定居、担保等公证，证明申请办理公证的当事人的财产收入情况</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当事人所在单位、银行</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公证部门</w:t>
            </w:r>
          </w:p>
        </w:tc>
        <w:tc>
          <w:tcPr>
            <w:tcW w:w="1527" w:type="dxa"/>
            <w:tcBorders>
              <w:tl2br w:val="nil"/>
              <w:tr2bl w:val="nil"/>
            </w:tcBorders>
            <w:tcMar>
              <w:left w:w="85" w:type="dxa"/>
              <w:right w:w="85" w:type="dxa"/>
            </w:tcMar>
            <w:vAlign w:val="center"/>
          </w:tcPr>
          <w:p>
            <w:pPr>
              <w:rPr>
                <w:rFonts w:ascii="宋体" w:hAnsi="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58" w:hRule="atLeast"/>
          <w:jc w:val="center"/>
        </w:trPr>
        <w:tc>
          <w:tcPr>
            <w:tcW w:w="496" w:type="dxa"/>
            <w:vMerge w:val="continue"/>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2.用于办理贷款业务，证明业务申请人的财产收入状况，综合判断其还款能力</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当事人所在单位、银行</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银行</w:t>
            </w:r>
          </w:p>
        </w:tc>
        <w:tc>
          <w:tcPr>
            <w:tcW w:w="1527" w:type="dxa"/>
            <w:tcBorders>
              <w:tl2br w:val="nil"/>
              <w:tr2bl w:val="nil"/>
            </w:tcBorders>
            <w:tcMar>
              <w:left w:w="85" w:type="dxa"/>
              <w:right w:w="85" w:type="dxa"/>
            </w:tcMar>
            <w:vAlign w:val="center"/>
          </w:tcPr>
          <w:p>
            <w:pPr>
              <w:rPr>
                <w:rFonts w:ascii="宋体" w:hAnsi="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53"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7</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olor w:val="000000" w:themeColor="text1"/>
                <w:sz w:val="18"/>
                <w:szCs w:val="18"/>
              </w:rPr>
              <w:t>出资证明</w:t>
            </w:r>
          </w:p>
        </w:tc>
        <w:tc>
          <w:tcPr>
            <w:tcW w:w="3642" w:type="dxa"/>
            <w:tcBorders>
              <w:tl2br w:val="nil"/>
              <w:tr2bl w:val="nil"/>
            </w:tcBorders>
            <w:tcMar>
              <w:left w:w="85" w:type="dxa"/>
              <w:right w:w="85" w:type="dxa"/>
            </w:tcMar>
            <w:vAlign w:val="center"/>
          </w:tcPr>
          <w:p>
            <w:pPr>
              <w:numPr>
                <w:ilvl w:val="0"/>
                <w:numId w:val="2"/>
              </w:numPr>
              <w:rPr>
                <w:rFonts w:ascii="宋体" w:hAnsi="宋体"/>
                <w:color w:val="000000" w:themeColor="text1"/>
                <w:sz w:val="18"/>
                <w:szCs w:val="18"/>
              </w:rPr>
            </w:pPr>
            <w:r>
              <w:rPr>
                <w:rFonts w:hint="eastAsia" w:ascii="宋体" w:hAnsi="宋体"/>
                <w:color w:val="000000" w:themeColor="text1"/>
                <w:sz w:val="18"/>
                <w:szCs w:val="18"/>
              </w:rPr>
              <w:t>《中华人民共和国企业法人登记管理条例》（国务院令第1号，根据2014年2月19日《国务院关于废止和修改部分行政法规的决定》修订）第15条 申请企业法人开业登记，应当提交下列文件、证件……资金信用证明、验资证明或者资金担保</w:t>
            </w:r>
            <w:r>
              <w:rPr>
                <w:rFonts w:hint="eastAsia" w:ascii="宋体" w:hAnsi="宋体"/>
                <w:color w:val="000000" w:themeColor="text1"/>
                <w:sz w:val="18"/>
                <w:szCs w:val="18"/>
              </w:rPr>
              <w:br w:type="textWrapping"/>
            </w:r>
            <w:r>
              <w:rPr>
                <w:rFonts w:hint="eastAsia" w:ascii="宋体" w:hAnsi="宋体"/>
                <w:color w:val="000000" w:themeColor="text1"/>
                <w:sz w:val="18"/>
                <w:szCs w:val="18"/>
              </w:rPr>
              <w:t>2.《中华人民共和国企业法人登记管理条例施行细则》(2017年10月27日国家工商行政管理总局令第92号第六次修订)第29条：申请企业法人登记，应按《条例》第十五条（一）至（七）项规定提交文件、证件……资金信用证明是财政部门证明全民所有制企业资金数额的文件。第36条　企业法人实有资金比原注册资金数额增加或者减少超过20％时，应持资金信用证明或者验资证明，向原登记主管机关申请变更登记</w:t>
            </w:r>
            <w:r>
              <w:rPr>
                <w:rFonts w:hint="eastAsia" w:ascii="宋体" w:hAnsi="宋体"/>
                <w:color w:val="000000" w:themeColor="text1"/>
                <w:sz w:val="18"/>
                <w:szCs w:val="18"/>
              </w:rPr>
              <w:br w:type="textWrapping"/>
            </w:r>
            <w:r>
              <w:rPr>
                <w:rFonts w:hint="eastAsia" w:ascii="宋体" w:hAnsi="宋体"/>
                <w:color w:val="000000" w:themeColor="text1"/>
                <w:sz w:val="18"/>
                <w:szCs w:val="18"/>
              </w:rPr>
              <w:t>3.《工商总局等六部门关于贯彻落实&lt;国务院办公厅关于加快推进“三证合一”登记制度改革的意见&gt;的通知》（工商企注字﹝2015﹞121号）《内资企业登记提交材料规范》﹝15﹞非公司企业法人开业登记提交材料规范6.主管部门（出资人）的出资证明。◆ 主管部门（出资人）为国有企业或者事业法人的，提交国有资产管理部门出具的国有资产产权登记证明。◆ 主管部门（出资人）为集体所有制企业或者社团组织、民办非企业单位的，提交依法设立的验资机构出具的验资证明。◆ 主管部门（出资人）为工会的，由上一级工会出具证明。﹝18﹞非公司企业法人变更登记提交材料规范4.变更事项相关证明文件。◆ 变更注册资金的，主管部门（出资人）为国有企业或者事业法人的，提交国有资产管理部门出具的国有资产产权登记证明；主管部门（出资人）为集体所有制企业或者社团组织、民办非企业单位的，提交依法设立的验资机构出具的验资证明；主管部门（出资人）为工会的，由上一级工会出具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用于非公司企业法人开业、变更登记，证明其出资行为</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国有资产管理部门、工会</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31"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8</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olor w:val="000000" w:themeColor="text1"/>
                <w:sz w:val="18"/>
                <w:szCs w:val="18"/>
              </w:rPr>
              <w:t>资金数额证明</w:t>
            </w:r>
          </w:p>
        </w:tc>
        <w:tc>
          <w:tcPr>
            <w:tcW w:w="3642" w:type="dxa"/>
            <w:tcBorders>
              <w:tl2br w:val="nil"/>
              <w:tr2bl w:val="nil"/>
            </w:tcBorders>
            <w:tcMar>
              <w:left w:w="85" w:type="dxa"/>
              <w:right w:w="85" w:type="dxa"/>
            </w:tcMar>
            <w:vAlign w:val="center"/>
          </w:tcPr>
          <w:p>
            <w:pPr>
              <w:spacing w:line="308" w:lineRule="exact"/>
              <w:rPr>
                <w:rFonts w:ascii="宋体" w:hAnsi="宋体" w:cs="宋体"/>
                <w:color w:val="000000" w:themeColor="text1"/>
                <w:sz w:val="18"/>
                <w:szCs w:val="18"/>
              </w:rPr>
            </w:pPr>
            <w:r>
              <w:rPr>
                <w:rFonts w:hint="eastAsia" w:ascii="宋体" w:hAnsi="宋体"/>
                <w:color w:val="000000" w:themeColor="text1"/>
                <w:sz w:val="18"/>
                <w:szCs w:val="18"/>
              </w:rPr>
              <w:t>1.《中华人民共和国企业法人登记管理条例》（国务院令第1号，根据2014年2月19日《国务院关于废止和修改部分行政法规的决定》修订）第15条：申请企业法人开业登记，应当提交下列文件、证件……资金信用证明、验资证明或者资金担保。第35条　企业法人设立不能独立承担民事责任的分支机构……具体登记管理参照本条例的规定执行</w:t>
            </w:r>
            <w:r>
              <w:rPr>
                <w:rFonts w:hint="eastAsia" w:ascii="宋体" w:hAnsi="宋体"/>
                <w:color w:val="000000" w:themeColor="text1"/>
                <w:sz w:val="18"/>
                <w:szCs w:val="18"/>
              </w:rPr>
              <w:br w:type="textWrapping"/>
            </w:r>
            <w:r>
              <w:rPr>
                <w:rFonts w:hint="eastAsia" w:ascii="宋体" w:hAnsi="宋体"/>
                <w:color w:val="000000" w:themeColor="text1"/>
                <w:sz w:val="18"/>
                <w:szCs w:val="18"/>
              </w:rPr>
              <w:t>2.《中华人民共和国企业法人登记管理条例施行细则》(2017年10月27日国家工商行政管理总局令第92号第六次修订)第29条：申请企业法人登记，应按《条例》第十五条（一）至（七）项规定提交文件、证件……资金信用证明是财政部门证明全民所有制企业资金数额的文件。第31条：申请营业登记，应根据不同情况，提交下列文件、证件：（二）经营资金数额的证明</w:t>
            </w:r>
            <w:r>
              <w:rPr>
                <w:rFonts w:hint="eastAsia" w:ascii="宋体" w:hAnsi="宋体"/>
                <w:color w:val="000000" w:themeColor="text1"/>
                <w:sz w:val="18"/>
                <w:szCs w:val="18"/>
              </w:rPr>
              <w:br w:type="textWrapping"/>
            </w:r>
            <w:r>
              <w:rPr>
                <w:rFonts w:hint="eastAsia" w:ascii="宋体" w:hAnsi="宋体"/>
                <w:color w:val="000000" w:themeColor="text1"/>
                <w:sz w:val="18"/>
                <w:szCs w:val="18"/>
              </w:rPr>
              <w:t>3.《工商总局等六部门关于贯彻落实&lt;国务院办公厅关于加快推进“三证合一”登记制度改革的意见&gt;的通知》（工商企注字2015﹞121号）《内资企业登记提交材料规范》﹝16﹞营业单位开业登记提交材料规范 5.主管部门（出资人）或企业法人出具的资金数额证明。﹝17﹞企业非法人分支机构开业登记提交材料规范5.主管部门（出资人）或企业法人出具的资金数额证明。﹝20﹞营业单位、企业非法人分支机构变更登记提交材料规范◆ 变更资金数额的，提交主管部门（出资人）或企业法人出具的资金数额证明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用于营业单位、企业非法人分支机构开业、变更登记，证明其资金数额</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营业单位主管部门（事业法人、社团法人、民办非企业单位等）</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3"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金融债权保全</w:t>
            </w:r>
          </w:p>
          <w:p>
            <w:pPr>
              <w:jc w:val="center"/>
              <w:rPr>
                <w:rFonts w:ascii="宋体" w:hAnsi="宋体" w:cs="宋体"/>
                <w:color w:val="000000" w:themeColor="text1"/>
                <w:sz w:val="18"/>
                <w:szCs w:val="18"/>
              </w:rPr>
            </w:pPr>
            <w:r>
              <w:rPr>
                <w:rFonts w:hint="eastAsia" w:ascii="宋体" w:hAnsi="宋体"/>
                <w:color w:val="000000" w:themeColor="text1"/>
                <w:sz w:val="18"/>
                <w:szCs w:val="18"/>
              </w:rPr>
              <w:t>证明（确认）</w:t>
            </w:r>
          </w:p>
        </w:tc>
        <w:tc>
          <w:tcPr>
            <w:tcW w:w="3642" w:type="dxa"/>
            <w:tcBorders>
              <w:tl2br w:val="nil"/>
              <w:tr2bl w:val="nil"/>
            </w:tcBorders>
            <w:tcMar>
              <w:left w:w="85" w:type="dxa"/>
              <w:right w:w="85" w:type="dxa"/>
            </w:tcMar>
            <w:vAlign w:val="center"/>
          </w:tcPr>
          <w:p>
            <w:pPr>
              <w:spacing w:line="308" w:lineRule="exact"/>
              <w:rPr>
                <w:rFonts w:ascii="宋体" w:hAnsi="宋体" w:cs="宋体"/>
                <w:color w:val="000000" w:themeColor="text1"/>
                <w:sz w:val="18"/>
                <w:szCs w:val="18"/>
              </w:rPr>
            </w:pPr>
            <w:r>
              <w:rPr>
                <w:rFonts w:hint="eastAsia" w:ascii="宋体" w:hAnsi="宋体"/>
                <w:color w:val="000000" w:themeColor="text1"/>
                <w:sz w:val="18"/>
                <w:szCs w:val="18"/>
              </w:rPr>
              <w:t>1.中国人民银行、国家经贸委、财政部、国家税务总局、国家工商行政管理局《关于认真落实&lt;国务院关于在国有中小企业和集体企业改制过程中加强金融债权管理的通知&gt;的通知》（银发[1998]578号）：“（四）各级工商行政管理部门要按照有关法规和政策的规定，认真做好改制企业的登记工作。改制企业办理开业、变更和注销登记时，要提交经中国人民银行或其派出机构认可的债权金融机构出具的金融债权保全证明文件，未提交上述证明文件的，各经工商行政管理机关不得为其办理有关登记注册和颁发新的营业执照。对各债权金融机构反映的确有逃废金融债务行为的企业，各级工商行政管理部门应积极配合有关部门依法处理。”</w:t>
            </w:r>
            <w:r>
              <w:rPr>
                <w:rFonts w:hint="eastAsia" w:ascii="宋体" w:hAnsi="宋体"/>
                <w:color w:val="000000" w:themeColor="text1"/>
                <w:sz w:val="18"/>
                <w:szCs w:val="18"/>
              </w:rPr>
              <w:br w:type="textWrapping"/>
            </w:r>
            <w:r>
              <w:rPr>
                <w:rFonts w:hint="eastAsia" w:ascii="宋体" w:hAnsi="宋体"/>
                <w:color w:val="000000" w:themeColor="text1"/>
                <w:sz w:val="18"/>
                <w:szCs w:val="18"/>
              </w:rPr>
              <w:t>2.《工商总局等六部门关于贯彻落实&lt;国务院办公厅关于加快推进“三证合一”登记制度改革的意见&gt;的通知》（工商企注字[2015]121号）《内资企业登记提交材料规范》【23】非公司企业法人按《公司法》改制登记提交材料规范“7.企业债权银行出具的金融债权保全证明文件和人民银行总行或其派出机构出具的确认文件（中小企业改制提交）”</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用于非公司企业法人按《公司法》改制登记，证明其金融债权已实现保全</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中国银行业监督管理委员会吉林监管分局</w:t>
            </w:r>
          </w:p>
        </w:tc>
        <w:tc>
          <w:tcPr>
            <w:tcW w:w="1219"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57"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清理债务</w:t>
            </w:r>
          </w:p>
          <w:p>
            <w:pPr>
              <w:jc w:val="center"/>
              <w:rPr>
                <w:rFonts w:ascii="宋体" w:hAnsi="宋体" w:cs="宋体"/>
                <w:color w:val="000000" w:themeColor="text1"/>
                <w:sz w:val="18"/>
                <w:szCs w:val="18"/>
              </w:rPr>
            </w:pPr>
            <w:r>
              <w:rPr>
                <w:rFonts w:hint="eastAsia" w:ascii="宋体" w:hAnsi="宋体"/>
                <w:color w:val="000000" w:themeColor="text1"/>
                <w:sz w:val="18"/>
                <w:szCs w:val="18"/>
              </w:rPr>
              <w:t>完结证明</w:t>
            </w:r>
          </w:p>
        </w:tc>
        <w:tc>
          <w:tcPr>
            <w:tcW w:w="3642" w:type="dxa"/>
            <w:tcBorders>
              <w:tl2br w:val="nil"/>
              <w:tr2bl w:val="nil"/>
            </w:tcBorders>
            <w:tcMar>
              <w:left w:w="85" w:type="dxa"/>
              <w:right w:w="85" w:type="dxa"/>
            </w:tcMar>
            <w:vAlign w:val="center"/>
          </w:tcPr>
          <w:p>
            <w:pPr>
              <w:spacing w:line="290" w:lineRule="exact"/>
              <w:rPr>
                <w:rFonts w:ascii="宋体" w:hAnsi="宋体" w:cs="宋体"/>
                <w:color w:val="000000" w:themeColor="text1"/>
                <w:sz w:val="18"/>
                <w:szCs w:val="18"/>
              </w:rPr>
            </w:pPr>
            <w:r>
              <w:rPr>
                <w:rFonts w:hint="eastAsia" w:ascii="宋体" w:hAnsi="宋体"/>
                <w:color w:val="000000" w:themeColor="text1"/>
                <w:sz w:val="18"/>
                <w:szCs w:val="18"/>
              </w:rPr>
              <w:t>1.《中华人民共和国企业法人登记管理条例》（国务院令第1号，根据2014年2月19日《国务院关于废止和修改部分行政法规的决定》修订）第21条：企业法人办理注销登记，应当提交法定代表人签署的申请注销登记报告、主管部门或者审批机关的批准文件、清理债务完结的证明或者清算组织负责清理债权债务的文件</w:t>
            </w:r>
            <w:r>
              <w:rPr>
                <w:rFonts w:hint="eastAsia" w:ascii="宋体" w:hAnsi="宋体"/>
                <w:color w:val="000000" w:themeColor="text1"/>
                <w:sz w:val="18"/>
                <w:szCs w:val="18"/>
              </w:rPr>
              <w:br w:type="textWrapping"/>
            </w:r>
            <w:r>
              <w:rPr>
                <w:rFonts w:hint="eastAsia" w:ascii="宋体" w:hAnsi="宋体"/>
                <w:color w:val="000000" w:themeColor="text1"/>
                <w:sz w:val="18"/>
                <w:szCs w:val="18"/>
              </w:rPr>
              <w:t>2.《中华人民共和国企业法人登记管理条例施行细则》(2017年10月27日国家工商行政管理总局令第92号第六次修订)第45条：企业法人根据《条例》第二十条规定，申请注销登记，应提交下列文件、证件：</w:t>
            </w:r>
            <w:r>
              <w:rPr>
                <w:rFonts w:hint="eastAsia" w:ascii="宋体" w:hAnsi="宋体"/>
                <w:color w:val="000000" w:themeColor="text1"/>
                <w:sz w:val="18"/>
                <w:szCs w:val="18"/>
              </w:rPr>
              <w:br w:type="textWrapping"/>
            </w:r>
            <w:r>
              <w:rPr>
                <w:rFonts w:hint="eastAsia" w:ascii="宋体" w:hAnsi="宋体"/>
                <w:color w:val="000000" w:themeColor="text1"/>
                <w:sz w:val="18"/>
                <w:szCs w:val="18"/>
              </w:rPr>
              <w:t>（三）主管部门或者清算组织出具的负责清理债权债务的文件或者清理债务完结的证明</w:t>
            </w:r>
            <w:r>
              <w:rPr>
                <w:rFonts w:hint="eastAsia" w:ascii="宋体" w:hAnsi="宋体"/>
                <w:color w:val="000000" w:themeColor="text1"/>
                <w:sz w:val="18"/>
                <w:szCs w:val="18"/>
              </w:rPr>
              <w:br w:type="textWrapping"/>
            </w:r>
            <w:r>
              <w:rPr>
                <w:rFonts w:hint="eastAsia" w:ascii="宋体" w:hAnsi="宋体"/>
                <w:color w:val="000000" w:themeColor="text1"/>
                <w:sz w:val="18"/>
                <w:szCs w:val="18"/>
              </w:rPr>
              <w:t>3.《工商总局等六部门关于贯彻落实&lt;国务院办公厅关于加快推进“三证合一”登记制度改革的意见&gt;的通知》（工商企注字﹝2015﹞121号）《内资企业登记提交材料规范》﹝21﹞非公司企业法人注销登记提交材料规范5.企业法人的主管部门（出资人）或者清算组织出具的负责清理债权债务的文件或者清理债务完结的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用于非公司企业法人注销登记，证明其债务清理完结</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企业法人的主管部门（出资人）或者清算组织</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仅适用于无法提供清算组织负责清理债权债务的文件的情形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6"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11</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市场主体迁</w:t>
            </w:r>
          </w:p>
          <w:p>
            <w:pPr>
              <w:jc w:val="center"/>
              <w:rPr>
                <w:rFonts w:ascii="宋体" w:hAnsi="宋体" w:cs="宋体"/>
                <w:color w:val="000000" w:themeColor="text1"/>
                <w:sz w:val="18"/>
                <w:szCs w:val="18"/>
              </w:rPr>
            </w:pPr>
            <w:r>
              <w:rPr>
                <w:rFonts w:hint="eastAsia" w:ascii="宋体" w:hAnsi="宋体"/>
                <w:color w:val="000000" w:themeColor="text1"/>
                <w:sz w:val="18"/>
                <w:szCs w:val="18"/>
              </w:rPr>
              <w:t>移证明</w:t>
            </w:r>
          </w:p>
        </w:tc>
        <w:tc>
          <w:tcPr>
            <w:tcW w:w="3642" w:type="dxa"/>
            <w:tcBorders>
              <w:tl2br w:val="nil"/>
              <w:tr2bl w:val="nil"/>
            </w:tcBorders>
            <w:tcMar>
              <w:left w:w="85" w:type="dxa"/>
              <w:right w:w="85" w:type="dxa"/>
            </w:tcMar>
            <w:vAlign w:val="center"/>
          </w:tcPr>
          <w:p>
            <w:pPr>
              <w:numPr>
                <w:ilvl w:val="0"/>
                <w:numId w:val="3"/>
              </w:numPr>
              <w:rPr>
                <w:rFonts w:ascii="宋体" w:hAnsi="宋体"/>
                <w:color w:val="000000" w:themeColor="text1"/>
                <w:sz w:val="18"/>
                <w:szCs w:val="18"/>
              </w:rPr>
            </w:pPr>
            <w:r>
              <w:rPr>
                <w:rFonts w:hint="eastAsia" w:ascii="宋体" w:hAnsi="宋体"/>
                <w:color w:val="000000" w:themeColor="text1"/>
                <w:sz w:val="18"/>
                <w:szCs w:val="18"/>
              </w:rPr>
              <w:t>《中华人民共和国企业法人登记管理条例施行细则》(2017年10月27日国家工商行政管理总局令第92号第六次修订)第39条企业法人迁移（跨原登记主管机关管辖地），应向原登记主管机关申请办理迁移手续；原登记主管机关根据新址所在地登记主管机关同意迁入的意见，收缴《企业法人营业执照》，撤销注册号，开出迁移证明，并将企业档案移交企业新址所在地登记主管机关。企业凭迁移证明和有关部门的批准文件，向新址所在地登记主管机关申请变更登记，领取《企业法人营业执照》</w:t>
            </w:r>
            <w:r>
              <w:rPr>
                <w:rFonts w:hint="eastAsia" w:ascii="宋体" w:hAnsi="宋体"/>
                <w:color w:val="000000" w:themeColor="text1"/>
                <w:sz w:val="18"/>
                <w:szCs w:val="18"/>
              </w:rPr>
              <w:br w:type="textWrapping"/>
            </w:r>
            <w:r>
              <w:rPr>
                <w:rFonts w:hint="eastAsia" w:ascii="宋体" w:hAnsi="宋体"/>
                <w:color w:val="000000" w:themeColor="text1"/>
                <w:sz w:val="18"/>
                <w:szCs w:val="18"/>
              </w:rPr>
              <w:t>2.《工商总局等六部门关于贯彻落实&lt;国务院办公厅关于加快推进“三证合一”登记制度改革的意见&gt;的通知》（工商企注字﹝2015﹞121号）外商投资企业登记提交材料规范﹝2﹞外商投资企业变更登记提交材料规范◆ 变更住所的，提交变更后住所的合法使用证明。外商投资企业迁移（跨原企业登记机关管辖的），申请迁移的企业凭原登记机关出具的迁移证明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用于市场主体迁移登记，证明企业已跨原登记主管机关管辖地迁移</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原工商登记主管机关</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68"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12</w:t>
            </w:r>
          </w:p>
        </w:tc>
        <w:tc>
          <w:tcPr>
            <w:tcW w:w="1613" w:type="dxa"/>
            <w:vMerge w:val="restart"/>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olor w:val="000000" w:themeColor="text1"/>
                <w:sz w:val="18"/>
                <w:szCs w:val="18"/>
              </w:rPr>
              <w:t>外国、香港、澳门和台湾地区投资者、外国合伙人的主体资格证明、营业证明、身份证明、境外住所证明、名称变更证明</w:t>
            </w:r>
          </w:p>
        </w:tc>
        <w:tc>
          <w:tcPr>
            <w:tcW w:w="3642" w:type="dxa"/>
            <w:vMerge w:val="restart"/>
            <w:tcBorders>
              <w:tl2br w:val="nil"/>
              <w:tr2bl w:val="nil"/>
            </w:tcBorders>
            <w:tcMar>
              <w:left w:w="85" w:type="dxa"/>
              <w:right w:w="85" w:type="dxa"/>
            </w:tcMar>
            <w:vAlign w:val="center"/>
          </w:tcPr>
          <w:p>
            <w:pPr>
              <w:ind w:right="55" w:rightChars="26"/>
              <w:rPr>
                <w:rFonts w:ascii="宋体" w:hAnsi="宋体"/>
                <w:color w:val="000000" w:themeColor="text1"/>
                <w:sz w:val="18"/>
                <w:szCs w:val="18"/>
              </w:rPr>
            </w:pPr>
            <w:r>
              <w:rPr>
                <w:rFonts w:hint="eastAsia" w:ascii="宋体" w:hAnsi="宋体"/>
                <w:color w:val="000000" w:themeColor="text1"/>
                <w:sz w:val="18"/>
                <w:szCs w:val="18"/>
              </w:rPr>
              <w:t>1.《工商总局等六部门关于贯彻落实&lt;国务院办公厅关于加快推进“三证合一”登记制度改革的意见&gt;的通知》（工商企注字﹝2015﹞121号）外商投资企业登记提交材料规范﹝1﹞ 外商投资的公司设立登记提交材料规范6.投资者的主体资格证明或自然人身份证明﹝2﹞外商投资企业变更登记提交材料规范◆ 变更股东的，……外国投资者的主体资格证明或身份证明应经其本国主管机关公证后送我国驻该国使（领）馆认证……香港、澳门和台湾地区投资者的主体资格证明或身份证明应当按照专项规定或协议依法提供当地公证机构的公证文件。◆ 变更投资者名称或姓名的，应提交法定登记机关出具的准予投资者名称变更的证明文件。﹝5﹞（非公司）外商投资企业设立登记提交材料规范.投资者的合法开业证明和资信证明。﹝12﹞外商投资合伙企业设立登记提交材料规范5.全体合伙人的主体资格证明或自然人身份证明和住所证明。﹝13﹞外商投资合伙企业变更登记提交材料规范◆变更合伙人姓名或名称，应提交合伙人姓名（名称）变更的证明文件。◆变更合伙人住所，应提交合伙人住所变更的证明文件，◆入伙变更，应提交新合伙人的主体资格证明或自然人身份证明和住所证明﹝22﹞外国（地区）企业常驻代表机构设立登记提交材料规范3.外国（地区）企业住所证明和存续2年以上的合法营业证明。﹝23﹞外国（地区）企业常驻代表机构变更登记（备案）提交材料规范◆代表机构名称变更，提供外国（地区）企业存续2年以上的合法营业证明及同外国（地区）企业有业务往来的金融机构出具的资信证明。◆驻在期限变更，提供外国（地区）企业存续2年以上的合法营业证明复印件和资信证明◆外国（地区）企业名称、住所变更。◆外国（地区）企业有权签字人备案，提供外国（地区）企业出具的对有权签字人的授权或证明文件。◆外国（地区）企业责任形式、资本（资产）、经营范围备案，提供外国（地区）企业责任形式、资本（资产）、经营范围发生变动的证明文件。◆外国（地区）企业名称、住所变更。由该外国（地区）企业所在国家（地区）法定登记机关出具的准予名称、住所变更的证明文件。该文件应经外国企业所属国家或地区公证机关及其有权机构认证，并经中华人民共和国驻该国（或代管该地区）使领馆认证。港澳台地区企业代表机构有关文件的公证认证按现行规定办理。◆外国（地区）企业有权签字人备案，提供外国（地区）企业出具的对有权签字人的授权或证明文件。◆外国（地区）企业责任形式、资本（资产）、经营范围备案，提供外国（地区）企业责任形式、资本（资产）、经营范围发生变动的证明文件</w:t>
            </w:r>
          </w:p>
          <w:p>
            <w:pPr>
              <w:spacing w:line="320" w:lineRule="exact"/>
              <w:ind w:right="55" w:rightChars="26"/>
              <w:rPr>
                <w:rFonts w:ascii="宋体" w:hAnsi="宋体"/>
                <w:color w:val="000000" w:themeColor="text1"/>
                <w:sz w:val="18"/>
                <w:szCs w:val="18"/>
              </w:rPr>
            </w:pPr>
            <w:r>
              <w:rPr>
                <w:rFonts w:hint="eastAsia" w:ascii="宋体" w:hAnsi="宋体"/>
                <w:color w:val="000000" w:themeColor="text1"/>
                <w:sz w:val="18"/>
                <w:szCs w:val="18"/>
              </w:rPr>
              <w:t>2.《国家工商行政管理总局、商务部、海关总署、国家外汇管理局关于印发&lt;关于外商投资的公司审批登记管理法律适用若干问题的执行意见&gt;的通知》（工商外企字﹝2006﹞81号）五、申请外商投资的公司的审批和设立登记时向审批和登记机关提交的外国投资者的主体资格证明或身份证明应当经所在国家公证机关公证并经我国驻该国使（领）馆认证。香港、澳门和台湾地区投资者的主体资格证明或身份证明应当依法提供当地公证机构的公证文件。</w:t>
            </w:r>
          </w:p>
          <w:p>
            <w:pPr>
              <w:spacing w:line="320" w:lineRule="exact"/>
              <w:ind w:right="55" w:rightChars="26"/>
              <w:rPr>
                <w:rFonts w:ascii="宋体" w:hAnsi="宋体"/>
                <w:color w:val="000000" w:themeColor="text1"/>
                <w:sz w:val="18"/>
                <w:szCs w:val="18"/>
              </w:rPr>
            </w:pPr>
            <w:r>
              <w:rPr>
                <w:rFonts w:hint="eastAsia" w:ascii="宋体" w:hAnsi="宋体"/>
                <w:color w:val="000000" w:themeColor="text1"/>
                <w:sz w:val="18"/>
                <w:szCs w:val="18"/>
              </w:rPr>
              <w:t>3.《外商投资合伙企业登记管理规定》（国家工商行政管理总局令第47号，根据2014年2月20日国家工商行政管理总局令第63号修订）第12条 设立外商投资合伙企业……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第24条　外商投资合伙企业合伙人变更姓名（名称）或者住所的，应当提交姓名（名称）或者住所变更的证明文件。外国合伙人的姓名（名称）、国家（地区）或者境外住所变更证明文件应当经其所在国家主管机构公证认证并经我国驻该国使（领）馆认证。香港特别行政区、澳门特别行政区和台湾地区合伙人的姓名（名称）、地区或者境外住所变更证明文件应当依照现行相关规定办理</w:t>
            </w:r>
          </w:p>
          <w:p>
            <w:pPr>
              <w:spacing w:line="320" w:lineRule="exact"/>
              <w:ind w:right="55" w:rightChars="26"/>
              <w:rPr>
                <w:rFonts w:ascii="宋体" w:hAnsi="宋体"/>
                <w:color w:val="000000" w:themeColor="text1"/>
                <w:sz w:val="18"/>
                <w:szCs w:val="18"/>
              </w:rPr>
            </w:pPr>
            <w:r>
              <w:rPr>
                <w:rFonts w:hint="eastAsia" w:ascii="宋体" w:hAnsi="宋体"/>
                <w:color w:val="000000" w:themeColor="text1"/>
                <w:sz w:val="18"/>
                <w:szCs w:val="18"/>
              </w:rPr>
              <w:t>4.《关于涉港企业登记文书证明效力问题的通知》（工商外企字﹝2004﹞第19号）</w:t>
            </w:r>
          </w:p>
          <w:p>
            <w:pPr>
              <w:spacing w:line="320" w:lineRule="exact"/>
              <w:ind w:right="55" w:rightChars="26"/>
              <w:rPr>
                <w:rFonts w:ascii="宋体" w:hAnsi="宋体" w:cs="宋体"/>
                <w:color w:val="000000" w:themeColor="text1"/>
                <w:sz w:val="18"/>
                <w:szCs w:val="18"/>
              </w:rPr>
            </w:pPr>
            <w:r>
              <w:rPr>
                <w:rFonts w:hint="eastAsia" w:ascii="宋体" w:hAnsi="宋体"/>
                <w:color w:val="000000" w:themeColor="text1"/>
                <w:sz w:val="18"/>
                <w:szCs w:val="18"/>
              </w:rPr>
              <w:t>5.《外国企业常驻代表机构登记管理条例》（中华人民共和国国务院令第584号，根据《国务院关于废止和修改部分行政法规的决定》第638号文件修改）第23条外国企业申请设立代表机构，应当向登记机关提交下列文件、材料...(二)外国企业住所证明和存续2年以上的合法营业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1.用于外商投资企业、外商投资合伙企业、外国企业常驻代表机构设立、变更、备案登记，证明其相关信息真实</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中国使（领）馆</w:t>
            </w:r>
          </w:p>
        </w:tc>
        <w:tc>
          <w:tcPr>
            <w:tcW w:w="1219" w:type="dxa"/>
            <w:vMerge w:val="restart"/>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vMerge w:val="restart"/>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仅在无法提供其他相关证明文件（材料）的情况下适用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2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2.用于香港地区投资者企业设立、变更、备案登记，证明其相关信息真实</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中国法律服务（香港）有限公司</w:t>
            </w:r>
          </w:p>
        </w:tc>
        <w:tc>
          <w:tcPr>
            <w:tcW w:w="1219"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48"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3.用于澳门地区投资者企业设立、变更、备案登记，证明其相关信息真实</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中国法律服务（澳门）有限公司</w:t>
            </w:r>
          </w:p>
        </w:tc>
        <w:tc>
          <w:tcPr>
            <w:tcW w:w="1219"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0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4.用于台湾地区投资者企业设立、变更、备案登记，证明其相关信息真实</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台湾海峡交流基金会</w:t>
            </w:r>
          </w:p>
        </w:tc>
        <w:tc>
          <w:tcPr>
            <w:tcW w:w="1219" w:type="dxa"/>
            <w:vMerge w:val="continue"/>
            <w:tcBorders>
              <w:tl2br w:val="nil"/>
              <w:tr2bl w:val="nil"/>
            </w:tcBorders>
            <w:tcMar>
              <w:left w:w="85" w:type="dxa"/>
              <w:right w:w="85" w:type="dxa"/>
            </w:tcMar>
            <w:vAlign w:val="center"/>
          </w:tcPr>
          <w:p>
            <w:pPr>
              <w:rPr>
                <w:rFonts w:ascii="宋体" w:hAnsi="宋体"/>
                <w:color w:val="000000" w:themeColor="text1"/>
                <w:sz w:val="18"/>
                <w:szCs w:val="18"/>
              </w:rPr>
            </w:pPr>
          </w:p>
        </w:tc>
        <w:tc>
          <w:tcPr>
            <w:tcW w:w="1527" w:type="dxa"/>
            <w:vMerge w:val="continue"/>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2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13</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企业类型</w:t>
            </w:r>
          </w:p>
          <w:p>
            <w:pPr>
              <w:jc w:val="center"/>
              <w:rPr>
                <w:rFonts w:ascii="宋体" w:hAnsi="宋体" w:cs="宋体"/>
                <w:color w:val="000000" w:themeColor="text1"/>
                <w:sz w:val="18"/>
                <w:szCs w:val="18"/>
              </w:rPr>
            </w:pPr>
            <w:r>
              <w:rPr>
                <w:rFonts w:hint="eastAsia" w:ascii="宋体" w:hAnsi="宋体"/>
                <w:color w:val="000000" w:themeColor="text1"/>
                <w:sz w:val="18"/>
                <w:szCs w:val="18"/>
              </w:rPr>
              <w:t>变更证明</w:t>
            </w:r>
          </w:p>
        </w:tc>
        <w:tc>
          <w:tcPr>
            <w:tcW w:w="3642" w:type="dxa"/>
            <w:tcBorders>
              <w:tl2br w:val="nil"/>
              <w:tr2bl w:val="nil"/>
            </w:tcBorders>
            <w:tcMar>
              <w:left w:w="85" w:type="dxa"/>
              <w:right w:w="85" w:type="dxa"/>
            </w:tcMar>
            <w:vAlign w:val="center"/>
          </w:tcPr>
          <w:p>
            <w:pPr>
              <w:spacing w:line="320" w:lineRule="exact"/>
              <w:rPr>
                <w:rFonts w:ascii="宋体" w:hAnsi="宋体" w:cs="宋体"/>
                <w:color w:val="000000" w:themeColor="text1"/>
                <w:sz w:val="18"/>
                <w:szCs w:val="18"/>
              </w:rPr>
            </w:pPr>
            <w:r>
              <w:rPr>
                <w:rFonts w:hint="eastAsia" w:ascii="宋体" w:hAnsi="宋体"/>
                <w:color w:val="000000" w:themeColor="text1"/>
                <w:sz w:val="18"/>
                <w:szCs w:val="18"/>
              </w:rPr>
              <w:t>《工商总局等六部门关于贯彻落实&lt;国务院办公厅关于加快推进“三证合一”登记制度改革的意见&gt;的通知》（工商企注字﹝2015﹞121号）外商投资企业登记提交材料规范﹝8﹞外商投资企业分支机构变更登记（备案）提交材料规范◆变更企业类型，应提交由隶属企业登记机关出具的隶属企业的企业类型变更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用于外商投资企业分支机构变更登记，证明企业类型发生变更</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隶属企业登记机关</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仅适用于工商系统信息查询不到的情形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14</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olor w:val="000000" w:themeColor="text1"/>
                <w:sz w:val="18"/>
                <w:szCs w:val="18"/>
              </w:rPr>
              <w:t>相关事宜已清理完结或者该代表机构未办理相关手续的证明</w:t>
            </w:r>
          </w:p>
        </w:tc>
        <w:tc>
          <w:tcPr>
            <w:tcW w:w="3642" w:type="dxa"/>
            <w:tcBorders>
              <w:tl2br w:val="nil"/>
              <w:tr2bl w:val="nil"/>
            </w:tcBorders>
            <w:tcMar>
              <w:left w:w="85" w:type="dxa"/>
              <w:right w:w="85" w:type="dxa"/>
            </w:tcMar>
            <w:vAlign w:val="center"/>
          </w:tcPr>
          <w:p>
            <w:pPr>
              <w:numPr>
                <w:ilvl w:val="0"/>
                <w:numId w:val="4"/>
              </w:numPr>
              <w:spacing w:line="330" w:lineRule="exact"/>
              <w:rPr>
                <w:rFonts w:ascii="宋体" w:hAnsi="宋体"/>
                <w:color w:val="000000" w:themeColor="text1"/>
                <w:sz w:val="18"/>
                <w:szCs w:val="18"/>
              </w:rPr>
            </w:pPr>
            <w:r>
              <w:rPr>
                <w:rFonts w:hint="eastAsia" w:ascii="宋体" w:hAnsi="宋体"/>
                <w:color w:val="000000" w:themeColor="text1"/>
                <w:sz w:val="18"/>
                <w:szCs w:val="18"/>
              </w:rPr>
              <w:t>《工商总局等六部门关于贯彻落实&lt;国务院办公厅关于加快推进“三证合一”登记制度改革的意见&gt;的通知》（工商企注字﹝2015﹞121号）外商投资企业登记提交材料规范﹝24﹞外国（地区）企业常驻代表机构注销登记提交材料规范4.海关、外汇部门出具的证明。指海关、外汇部门出具的相关事宜已清理完结或者该代表机构未办理相关手续的证明</w:t>
            </w:r>
            <w:r>
              <w:rPr>
                <w:rFonts w:hint="eastAsia" w:ascii="宋体" w:hAnsi="宋体"/>
                <w:color w:val="000000" w:themeColor="text1"/>
                <w:sz w:val="18"/>
                <w:szCs w:val="18"/>
              </w:rPr>
              <w:br w:type="textWrapping"/>
            </w:r>
            <w:r>
              <w:rPr>
                <w:rFonts w:hint="eastAsia" w:ascii="宋体" w:hAnsi="宋体"/>
                <w:color w:val="000000" w:themeColor="text1"/>
                <w:sz w:val="18"/>
                <w:szCs w:val="18"/>
              </w:rPr>
              <w:t>2.《外国企业常驻代表机构登记管理条例》（中华人民共和国国务院令第584号，根据《国务院关于废止和修改部分行政法规的决定》第638号文件修改）第33条 外国企业申请代表机构注销登记，应当向登记机关提交下列文件：（三）海关、外汇部门出具的相关事宜已清理完结或者该代表机构未办理相关手续的证明</w:t>
            </w:r>
            <w:r>
              <w:rPr>
                <w:rFonts w:hint="eastAsia" w:ascii="宋体" w:hAnsi="宋体"/>
                <w:color w:val="000000" w:themeColor="text1"/>
                <w:sz w:val="18"/>
                <w:szCs w:val="18"/>
              </w:rPr>
              <w:br w:type="textWrapping"/>
            </w:r>
            <w:r>
              <w:rPr>
                <w:rFonts w:hint="eastAsia" w:ascii="宋体" w:hAnsi="宋体"/>
                <w:color w:val="000000" w:themeColor="text1"/>
                <w:sz w:val="18"/>
                <w:szCs w:val="18"/>
              </w:rPr>
              <w:t>3.《外商投资合伙企业登记管理规定》（国家工商行政管理总局令第47号，根据2014年2月20日国家工商行政管理总局令第63号修订）</w:t>
            </w:r>
            <w:r>
              <w:rPr>
                <w:rFonts w:hint="eastAsia" w:ascii="宋体" w:hAnsi="宋体"/>
                <w:color w:val="000000" w:themeColor="text1"/>
                <w:sz w:val="18"/>
                <w:szCs w:val="18"/>
              </w:rPr>
              <w:br w:type="textWrapping"/>
            </w:r>
            <w:r>
              <w:rPr>
                <w:rFonts w:hint="eastAsia" w:ascii="宋体" w:hAnsi="宋体"/>
                <w:color w:val="000000" w:themeColor="text1"/>
                <w:sz w:val="18"/>
                <w:szCs w:val="18"/>
              </w:rPr>
              <w:t>第33条外商投资合伙企业办理注销登记，应当提交下列文件...（三）全体合伙人签名、盖章的清算报告（清算报告中应当载明已经办理完结税务、海关纳税手续的说明）</w:t>
            </w:r>
            <w:r>
              <w:rPr>
                <w:rFonts w:hint="eastAsia" w:ascii="宋体" w:hAnsi="宋体"/>
                <w:color w:val="000000" w:themeColor="text1"/>
                <w:sz w:val="18"/>
                <w:szCs w:val="18"/>
              </w:rPr>
              <w:br w:type="textWrapping"/>
            </w:r>
            <w:r>
              <w:rPr>
                <w:rFonts w:hint="eastAsia" w:ascii="宋体" w:hAnsi="宋体"/>
                <w:color w:val="000000" w:themeColor="text1"/>
                <w:sz w:val="18"/>
                <w:szCs w:val="18"/>
              </w:rPr>
              <w:t>4.《国家工商行政管理总局、商务部、海关总署、国家外汇管理局关于印发&lt;关于外商投资的公司审批登记管理法律适用若干问题的执行意见&gt;的通知》（工商外企字﹝2006﹞81号）二十三、外商投资的公司申请注销登记，***清算报告还应当附税务机关的注销证明、海关出具的办结海关手续证明或者未办理海关登记手续的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用于外商投资的公司、外商投资合伙企业、外国（地区）企业常驻代表机构注销登记，证明外商投资企业相关事宜已清理完结或者该代表机构未办理相关手续</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海关、外汇管理部门</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olor w:val="000000" w:themeColor="text1"/>
                <w:sz w:val="18"/>
                <w:szCs w:val="18"/>
              </w:rPr>
              <w:t>市工商局</w:t>
            </w:r>
          </w:p>
        </w:tc>
        <w:tc>
          <w:tcPr>
            <w:tcW w:w="1527" w:type="dxa"/>
            <w:tcBorders>
              <w:tl2br w:val="nil"/>
              <w:tr2bl w:val="nil"/>
            </w:tcBorders>
            <w:tcMar>
              <w:left w:w="85" w:type="dxa"/>
              <w:right w:w="85" w:type="dxa"/>
            </w:tcMar>
            <w:vAlign w:val="center"/>
          </w:tcPr>
          <w:p>
            <w:pPr>
              <w:rPr>
                <w:rFonts w:ascii="宋体" w:hAnsi="宋体" w:cs="宋体"/>
                <w:color w:val="000000" w:themeColor="text1"/>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1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（无）婚姻登记记录证明</w:t>
            </w:r>
          </w:p>
        </w:tc>
        <w:tc>
          <w:tcPr>
            <w:tcW w:w="3642"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1.《公证法》第十一条 申请人可以办理公证事项公证。第二十七条 申请办理的当事人应当向公证机构如实说明申请公证的事项的情况，提供真实、合法、充分的证明材料。提供的证明材料不充分的，公证机构可以要求补充。第二十八条 公证机构办理公证，应根据不同公证事项的办理规则分别审查提供的证明材料是否真实、合法、充分</w:t>
            </w:r>
          </w:p>
          <w:p>
            <w:pPr>
              <w:rPr>
                <w:rFonts w:ascii="宋体" w:hAnsi="宋体"/>
                <w:color w:val="000000" w:themeColor="text1"/>
                <w:sz w:val="18"/>
                <w:szCs w:val="18"/>
              </w:rPr>
            </w:pPr>
            <w:r>
              <w:rPr>
                <w:rFonts w:hint="eastAsia" w:ascii="宋体" w:hAnsi="宋体"/>
                <w:color w:val="000000" w:themeColor="text1"/>
                <w:sz w:val="18"/>
                <w:szCs w:val="18"/>
              </w:rPr>
              <w:t xml:space="preserve">2.《公证程序规则》第十八条 自然人、法人、或者其他组织申请办理公证应当提交下列材料，第四款申请公证的事项的证明材料，涉及财产关系的须提交有关财产权利证明                                               </w:t>
            </w:r>
          </w:p>
          <w:p>
            <w:pPr>
              <w:rPr>
                <w:rFonts w:ascii="宋体" w:hAnsi="宋体"/>
                <w:color w:val="000000" w:themeColor="text1"/>
                <w:sz w:val="18"/>
                <w:szCs w:val="18"/>
              </w:rPr>
            </w:pPr>
            <w:r>
              <w:rPr>
                <w:rFonts w:hint="eastAsia" w:ascii="宋体" w:hAnsi="宋体"/>
                <w:color w:val="000000" w:themeColor="text1"/>
                <w:sz w:val="18"/>
                <w:szCs w:val="18"/>
              </w:rPr>
              <w:t>3.《民政部关于进一步规范（无）婚姻登记记录证明相关工作的通知》（民函﹝2015</w:t>
            </w:r>
            <w:r>
              <w:rPr>
                <w:rFonts w:ascii="宋体" w:hAnsi="宋体"/>
                <w:color w:val="000000" w:themeColor="text1"/>
                <w:sz w:val="18"/>
                <w:szCs w:val="18"/>
              </w:rPr>
              <w:t>﹞</w:t>
            </w:r>
            <w:r>
              <w:rPr>
                <w:rFonts w:hint="eastAsia" w:ascii="宋体" w:hAnsi="宋体"/>
                <w:color w:val="000000" w:themeColor="text1"/>
                <w:sz w:val="18"/>
                <w:szCs w:val="18"/>
              </w:rPr>
              <w:t>266号）：一、自文件发布之日起,除对涉台和本通知附件所列清单中已列出国家的公证事项仍可继续出具证明外，各地民政部门不再向任何部门和个人出具（无）婚姻登记记录证明。各地民政部门在出具证明时，应当根据当事人所涉事项，在出具证明中注明“本证明仅限于XXX（申请人）办理赴XX国家（或者台湾地区）的XX公证事项使用，用于其他事项无效。”</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用于办理出国公证，证明无婚育登记记录</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县（市）区、开发区民政部门婚姻登记机构</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公证部门</w:t>
            </w:r>
          </w:p>
          <w:p>
            <w:pPr>
              <w:rPr>
                <w:rFonts w:ascii="宋体" w:hAnsi="宋体"/>
                <w:color w:val="000000" w:themeColor="text1"/>
                <w:sz w:val="18"/>
                <w:szCs w:val="18"/>
              </w:rPr>
            </w:pP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r>
              <w:rPr>
                <w:rFonts w:hint="eastAsia" w:ascii="宋体" w:hAnsi="宋体"/>
                <w:color w:val="000000" w:themeColor="text1"/>
                <w:sz w:val="18"/>
                <w:szCs w:val="18"/>
              </w:rPr>
              <w:t>该证明仅向九国一地区开具。九国是指：哈萨克斯坦、芬兰、奥地利、荷兰、德国、阿根廷、乌拉圭、墨西哥、波兰。一地区是指：台湾地区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8"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16</w:t>
            </w:r>
          </w:p>
        </w:tc>
        <w:tc>
          <w:tcPr>
            <w:tcW w:w="1613" w:type="dxa"/>
            <w:vMerge w:val="restart"/>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非正常死亡证明</w:t>
            </w:r>
          </w:p>
        </w:tc>
        <w:tc>
          <w:tcPr>
            <w:tcW w:w="3642" w:type="dxa"/>
            <w:vMerge w:val="restart"/>
            <w:tcBorders>
              <w:tl2br w:val="nil"/>
              <w:tr2bl w:val="nil"/>
            </w:tcBorders>
            <w:tcMar>
              <w:left w:w="85" w:type="dxa"/>
              <w:right w:w="85" w:type="dxa"/>
            </w:tcMar>
            <w:vAlign w:val="center"/>
          </w:tcPr>
          <w:p>
            <w:pPr>
              <w:numPr>
                <w:ilvl w:val="0"/>
                <w:numId w:val="5"/>
              </w:numPr>
              <w:rPr>
                <w:rFonts w:ascii="宋体" w:hAnsi="宋体"/>
                <w:color w:val="000000" w:themeColor="text1"/>
                <w:sz w:val="18"/>
                <w:szCs w:val="18"/>
              </w:rPr>
            </w:pPr>
            <w:r>
              <w:rPr>
                <w:rFonts w:hint="eastAsia" w:ascii="宋体" w:hAnsi="宋体"/>
                <w:color w:val="000000" w:themeColor="text1"/>
                <w:sz w:val="18"/>
                <w:szCs w:val="18"/>
              </w:rPr>
              <w:t>《公证法》第十一条 申请人可以办理公证事项公证。第二十七条 申请办理的当事人应当向公证机构如实说明申请公证的事项的情况，提供真实、合法、充分的证明材料。提供的证明材料不充分的，公证机构可以要求补充。</w:t>
            </w:r>
          </w:p>
          <w:p>
            <w:pPr>
              <w:rPr>
                <w:rFonts w:ascii="宋体" w:hAnsi="宋体"/>
                <w:color w:val="000000" w:themeColor="text1"/>
                <w:sz w:val="18"/>
                <w:szCs w:val="18"/>
              </w:rPr>
            </w:pPr>
            <w:r>
              <w:rPr>
                <w:rFonts w:hint="eastAsia" w:ascii="宋体" w:hAnsi="宋体"/>
                <w:color w:val="000000" w:themeColor="text1"/>
                <w:sz w:val="18"/>
                <w:szCs w:val="18"/>
              </w:rPr>
              <w:t>2.</w:t>
            </w:r>
            <w:r>
              <w:rPr>
                <w:rFonts w:hint="eastAsia" w:ascii="宋体" w:hAnsi="宋体"/>
                <w:color w:val="000000" w:themeColor="text1"/>
                <w:kern w:val="0"/>
                <w:sz w:val="18"/>
                <w:szCs w:val="18"/>
                <w:lang w:val="ru-RU"/>
              </w:rPr>
              <w:t>《</w:t>
            </w:r>
            <w:r>
              <w:rPr>
                <w:rFonts w:hint="eastAsia" w:ascii="宋体" w:hAnsi="宋体"/>
                <w:color w:val="000000" w:themeColor="text1"/>
                <w:kern w:val="0"/>
                <w:sz w:val="18"/>
                <w:szCs w:val="18"/>
              </w:rPr>
              <w:t>吉林省公安厅&lt;关于改进公安派出所出具证明有关事项的通知&gt;》(</w:t>
            </w:r>
            <w:r>
              <w:rPr>
                <w:rFonts w:ascii="宋体" w:hAnsi="宋体"/>
                <w:color w:val="000000" w:themeColor="text1"/>
                <w:kern w:val="0"/>
                <w:sz w:val="18"/>
                <w:szCs w:val="18"/>
              </w:rPr>
              <w:t>吉公办字﹝2015﹞56号</w:t>
            </w:r>
            <w:r>
              <w:rPr>
                <w:rFonts w:hint="eastAsia" w:ascii="宋体" w:hAnsi="宋体"/>
                <w:color w:val="000000" w:themeColor="text1"/>
                <w:kern w:val="0"/>
                <w:sz w:val="18"/>
                <w:szCs w:val="18"/>
              </w:rPr>
              <w:t>)，三（一）</w:t>
            </w:r>
            <w:r>
              <w:rPr>
                <w:rFonts w:ascii="宋体" w:hAnsi="宋体"/>
                <w:color w:val="000000" w:themeColor="text1"/>
                <w:kern w:val="0"/>
                <w:sz w:val="18"/>
                <w:szCs w:val="18"/>
                <w:lang w:val="ru-RU"/>
              </w:rPr>
              <w:t xml:space="preserve"> </w:t>
            </w:r>
            <w:r>
              <w:rPr>
                <w:rFonts w:hint="eastAsia" w:ascii="宋体" w:hAnsi="宋体"/>
                <w:color w:val="000000" w:themeColor="text1"/>
                <w:kern w:val="0"/>
                <w:sz w:val="18"/>
                <w:szCs w:val="18"/>
                <w:lang w:val="ru-RU"/>
              </w:rPr>
              <w:t>明确公安派出所出具证明的范围，公安派出所应当出具的证明包括以下5类，共9种，分别是：1、亲属关系证明（仅限于曾经同户人员之间证明亲属关系）。2、户口登记项目（姓名、性别、民族、出生日期、公民身份号码）变更更正证明。3、非正常死亡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1.用于继承、出国定居、死亡类公证，证明其非正常死亡</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公安派出所</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公证部门</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33"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olor w:val="000000" w:themeColor="text1"/>
                <w:sz w:val="18"/>
                <w:szCs w:val="18"/>
              </w:rPr>
            </w:pPr>
          </w:p>
        </w:tc>
        <w:tc>
          <w:tcPr>
            <w:tcW w:w="3642" w:type="dxa"/>
            <w:vMerge w:val="continue"/>
            <w:tcBorders>
              <w:tl2br w:val="nil"/>
              <w:tr2bl w:val="nil"/>
            </w:tcBorders>
            <w:tcMar>
              <w:left w:w="85" w:type="dxa"/>
              <w:right w:w="85" w:type="dxa"/>
            </w:tcMar>
            <w:vAlign w:val="center"/>
          </w:tcPr>
          <w:p>
            <w:pPr>
              <w:rPr>
                <w:rFonts w:ascii="宋体" w:hAnsi="宋体"/>
                <w:color w:val="000000" w:themeColor="text1"/>
                <w:kern w:val="0"/>
                <w:sz w:val="18"/>
                <w:szCs w:val="18"/>
                <w:lang w:val="ru-RU"/>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2.用于社保部门办理死亡人员社保事项，判定其死亡事实和时间</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公安派出所</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市社保局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12"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17</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法人房屋交易申请主体身份变更证明</w:t>
            </w:r>
          </w:p>
        </w:tc>
        <w:tc>
          <w:tcPr>
            <w:tcW w:w="3642"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住房和城乡建设部房地产登记技术规程》（登记资料利用，附录13.0.11）。房地产登记后，房地产权利人的身份证明类型、证件号码等内容发生变更，当其申请办理已登记房地产的新登记事项时，提供证明申请主体与登记资料中留存或记载的主体为同一人的材料，应提交相关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用于办理已登记房地产的新登记事项，证明境内（外）法人和其他组织信息变更但为同一人</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1.工商管理部门（境内法人、其他组织）；</w:t>
            </w:r>
          </w:p>
          <w:p>
            <w:pPr>
              <w:rPr>
                <w:rFonts w:ascii="宋体" w:hAnsi="宋体"/>
                <w:color w:val="000000" w:themeColor="text1"/>
                <w:sz w:val="18"/>
                <w:szCs w:val="18"/>
              </w:rPr>
            </w:pPr>
            <w:r>
              <w:rPr>
                <w:rFonts w:hint="eastAsia" w:ascii="宋体" w:hAnsi="宋体"/>
                <w:color w:val="000000" w:themeColor="text1"/>
                <w:sz w:val="18"/>
                <w:szCs w:val="18"/>
              </w:rPr>
              <w:t>2.批准和注册机构（境外法人、其他组织）</w:t>
            </w:r>
          </w:p>
        </w:tc>
        <w:tc>
          <w:tcPr>
            <w:tcW w:w="121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市国土局（不动产交易中心）</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45"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18</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申请取水的第三方利害关系说明</w:t>
            </w:r>
          </w:p>
        </w:tc>
        <w:tc>
          <w:tcPr>
            <w:tcW w:w="3642"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《取水许可和水资源费征收管理条例》第十一条</w:t>
            </w:r>
            <w:r>
              <w:rPr>
                <w:rFonts w:hint="eastAsia" w:ascii="宋体" w:hAnsi="宋体"/>
                <w:color w:val="000000" w:themeColor="text1"/>
                <w:sz w:val="18"/>
                <w:szCs w:val="18"/>
              </w:rPr>
              <w:t xml:space="preserve"> </w:t>
            </w:r>
            <w:r>
              <w:rPr>
                <w:rFonts w:ascii="宋体" w:hAnsi="宋体" w:cs="宋体"/>
                <w:color w:val="000000" w:themeColor="text1"/>
                <w:sz w:val="18"/>
                <w:szCs w:val="18"/>
              </w:rPr>
              <w:t>申请取水应当提交下列材料:(一)申请书;(二)与第三者利害关系的相</w:t>
            </w:r>
            <w:r>
              <w:rPr>
                <w:rFonts w:ascii="宋体" w:hAnsi="宋体" w:cs="宋体"/>
                <w:color w:val="000000" w:themeColor="text1"/>
                <w:kern w:val="0"/>
                <w:sz w:val="18"/>
                <w:szCs w:val="18"/>
              </w:rPr>
              <w:t>关说明</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用于说明与第三者利害关系，证明作为利害关系人的第三方无异议</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第三者利害关系人或单位</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市水利局</w:t>
            </w:r>
          </w:p>
        </w:tc>
        <w:tc>
          <w:tcPr>
            <w:tcW w:w="1527"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02"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19</w:t>
            </w:r>
          </w:p>
        </w:tc>
        <w:tc>
          <w:tcPr>
            <w:tcW w:w="1613" w:type="dxa"/>
            <w:tcBorders>
              <w:tl2br w:val="nil"/>
              <w:tr2bl w:val="nil"/>
            </w:tcBorders>
            <w:tcMar>
              <w:left w:w="85" w:type="dxa"/>
              <w:right w:w="85" w:type="dxa"/>
            </w:tcMar>
            <w:vAlign w:val="center"/>
          </w:tcPr>
          <w:p>
            <w:pPr>
              <w:jc w:val="center"/>
              <w:rPr>
                <w:rFonts w:ascii="宋体" w:hAnsi="宋体"/>
                <w:color w:val="000000" w:themeColor="text1"/>
                <w:kern w:val="0"/>
                <w:sz w:val="18"/>
                <w:szCs w:val="18"/>
                <w:lang w:val="ru-RU"/>
              </w:rPr>
            </w:pPr>
            <w:r>
              <w:rPr>
                <w:rFonts w:ascii="宋体" w:hAnsi="宋体"/>
                <w:color w:val="000000" w:themeColor="text1"/>
                <w:kern w:val="0"/>
                <w:sz w:val="18"/>
                <w:szCs w:val="18"/>
                <w:lang w:val="ru-RU"/>
              </w:rPr>
              <w:t>零就业家庭证明</w:t>
            </w:r>
          </w:p>
        </w:tc>
        <w:tc>
          <w:tcPr>
            <w:tcW w:w="3642" w:type="dxa"/>
            <w:tcBorders>
              <w:tl2br w:val="nil"/>
              <w:tr2bl w:val="nil"/>
            </w:tcBorders>
            <w:tcMar>
              <w:left w:w="85" w:type="dxa"/>
              <w:right w:w="85" w:type="dxa"/>
            </w:tcMar>
            <w:vAlign w:val="center"/>
          </w:tcPr>
          <w:p>
            <w:pPr>
              <w:spacing w:line="290" w:lineRule="exact"/>
              <w:rPr>
                <w:rFonts w:ascii="宋体" w:hAnsi="宋体"/>
                <w:color w:val="000000" w:themeColor="text1"/>
                <w:kern w:val="0"/>
                <w:sz w:val="18"/>
                <w:szCs w:val="18"/>
              </w:rPr>
            </w:pPr>
            <w:r>
              <w:rPr>
                <w:rFonts w:hint="eastAsia" w:ascii="宋体" w:hAnsi="宋体"/>
                <w:color w:val="000000" w:themeColor="text1"/>
                <w:kern w:val="0"/>
                <w:sz w:val="18"/>
                <w:szCs w:val="18"/>
                <w:lang w:val="ru-RU"/>
              </w:rPr>
              <w:t>《关于促进城镇职工基本养老保险持续参保缴费的补充通知》（</w:t>
            </w:r>
            <w:r>
              <w:rPr>
                <w:rFonts w:ascii="宋体" w:hAnsi="宋体"/>
                <w:color w:val="000000" w:themeColor="text1"/>
                <w:kern w:val="0"/>
                <w:sz w:val="18"/>
                <w:szCs w:val="18"/>
                <w:lang w:val="ru-RU"/>
              </w:rPr>
              <w:t>吉人社办字﹝</w:t>
            </w:r>
            <w:r>
              <w:rPr>
                <w:rFonts w:ascii="宋体" w:hAnsi="宋体"/>
                <w:color w:val="000000" w:themeColor="text1"/>
                <w:kern w:val="0"/>
                <w:sz w:val="18"/>
                <w:szCs w:val="18"/>
              </w:rPr>
              <w:t>2014﹞57号</w:t>
            </w:r>
            <w:r>
              <w:rPr>
                <w:rFonts w:hint="eastAsia" w:ascii="宋体" w:hAnsi="宋体"/>
                <w:color w:val="000000" w:themeColor="text1"/>
                <w:kern w:val="0"/>
                <w:sz w:val="18"/>
                <w:szCs w:val="18"/>
              </w:rPr>
              <w:t>） 中断缴费时超3年的，除县（市、区）就业服务局核准确认的就业困难人员外，符合下列条件之一的，提供相关材料，经当地社会保险经办机构审核，按中断缴费期间当地使用的在岗职工平均工资的60%、80%和100%为基数补缴养老保险费。四、零就业家庭成员，提供社区人力资源社会保障服务站开具的零就业家庭证明</w:t>
            </w:r>
          </w:p>
        </w:tc>
        <w:tc>
          <w:tcPr>
            <w:tcW w:w="572" w:type="dxa"/>
            <w:tcBorders>
              <w:tl2br w:val="nil"/>
              <w:tr2bl w:val="nil"/>
            </w:tcBorders>
            <w:tcMar>
              <w:left w:w="85" w:type="dxa"/>
              <w:right w:w="85" w:type="dxa"/>
            </w:tcMar>
            <w:vAlign w:val="center"/>
          </w:tcPr>
          <w:p>
            <w:pPr>
              <w:jc w:val="center"/>
              <w:rPr>
                <w:rFonts w:ascii="宋体" w:hAnsi="宋体"/>
                <w:color w:val="000000" w:themeColor="text1"/>
                <w:kern w:val="0"/>
                <w:sz w:val="18"/>
                <w:szCs w:val="18"/>
              </w:rPr>
            </w:pPr>
            <w:r>
              <w:rPr>
                <w:rFonts w:hint="eastAsia" w:ascii="宋体" w:hAnsi="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rPr>
              <w:t>用于</w:t>
            </w:r>
            <w:r>
              <w:rPr>
                <w:rFonts w:ascii="宋体" w:hAnsi="宋体"/>
                <w:color w:val="000000" w:themeColor="text1"/>
                <w:kern w:val="0"/>
                <w:sz w:val="18"/>
                <w:szCs w:val="18"/>
              </w:rPr>
              <w:t>零就业家庭成员中断缴费超3年</w:t>
            </w:r>
            <w:r>
              <w:rPr>
                <w:rFonts w:hint="eastAsia" w:ascii="宋体" w:hAnsi="宋体"/>
                <w:color w:val="000000" w:themeColor="text1"/>
                <w:kern w:val="0"/>
                <w:sz w:val="18"/>
                <w:szCs w:val="18"/>
              </w:rPr>
              <w:t>恢复</w:t>
            </w:r>
            <w:r>
              <w:rPr>
                <w:rFonts w:ascii="宋体" w:hAnsi="宋体"/>
                <w:color w:val="000000" w:themeColor="text1"/>
                <w:kern w:val="0"/>
                <w:sz w:val="18"/>
                <w:szCs w:val="18"/>
              </w:rPr>
              <w:t>按原标准缴费</w:t>
            </w:r>
            <w:r>
              <w:rPr>
                <w:rFonts w:hint="eastAsia" w:ascii="宋体" w:hAnsi="宋体"/>
                <w:color w:val="000000" w:themeColor="text1"/>
                <w:kern w:val="0"/>
                <w:sz w:val="18"/>
                <w:szCs w:val="18"/>
              </w:rPr>
              <w:t>，证明其为零就业家庭</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社区人力资源社会保障服务站</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rPr>
            </w:pPr>
            <w:r>
              <w:rPr>
                <w:rFonts w:hint="eastAsia" w:ascii="宋体" w:hAnsi="宋体"/>
                <w:color w:val="000000" w:themeColor="text1"/>
                <w:kern w:val="0"/>
                <w:sz w:val="18"/>
                <w:szCs w:val="18"/>
                <w:lang w:val="ru-RU"/>
              </w:rPr>
              <w:t>市社保局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45"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w:t>
            </w:r>
          </w:p>
        </w:tc>
        <w:tc>
          <w:tcPr>
            <w:tcW w:w="1613" w:type="dxa"/>
            <w:tcBorders>
              <w:tl2br w:val="nil"/>
              <w:tr2bl w:val="nil"/>
            </w:tcBorders>
            <w:tcMar>
              <w:left w:w="85" w:type="dxa"/>
              <w:right w:w="85" w:type="dxa"/>
            </w:tcMar>
            <w:vAlign w:val="center"/>
          </w:tcPr>
          <w:p>
            <w:pPr>
              <w:jc w:val="center"/>
              <w:rPr>
                <w:rFonts w:ascii="宋体" w:hAnsi="宋体"/>
                <w:color w:val="000000" w:themeColor="text1"/>
                <w:kern w:val="0"/>
                <w:sz w:val="18"/>
                <w:szCs w:val="18"/>
                <w:lang w:val="ru-RU"/>
              </w:rPr>
            </w:pPr>
            <w:r>
              <w:rPr>
                <w:rFonts w:ascii="宋体" w:hAnsi="宋体"/>
                <w:color w:val="000000" w:themeColor="text1"/>
                <w:kern w:val="0"/>
                <w:sz w:val="18"/>
                <w:szCs w:val="18"/>
                <w:lang w:val="ru-RU"/>
              </w:rPr>
              <w:t>离婚或丧偶及抚养未成年子女</w:t>
            </w:r>
          </w:p>
          <w:p>
            <w:pPr>
              <w:jc w:val="center"/>
              <w:rPr>
                <w:rFonts w:ascii="宋体" w:hAnsi="宋体"/>
                <w:color w:val="000000" w:themeColor="text1"/>
                <w:kern w:val="0"/>
                <w:sz w:val="18"/>
                <w:szCs w:val="18"/>
                <w:lang w:val="ru-RU"/>
              </w:rPr>
            </w:pPr>
            <w:r>
              <w:rPr>
                <w:rFonts w:ascii="宋体" w:hAnsi="宋体"/>
                <w:color w:val="000000" w:themeColor="text1"/>
                <w:kern w:val="0"/>
                <w:sz w:val="18"/>
                <w:szCs w:val="18"/>
                <w:lang w:val="ru-RU"/>
              </w:rPr>
              <w:t>证明</w:t>
            </w:r>
          </w:p>
        </w:tc>
        <w:tc>
          <w:tcPr>
            <w:tcW w:w="3642" w:type="dxa"/>
            <w:tcBorders>
              <w:tl2br w:val="nil"/>
              <w:tr2bl w:val="nil"/>
            </w:tcBorders>
            <w:tcMar>
              <w:left w:w="85" w:type="dxa"/>
              <w:right w:w="85" w:type="dxa"/>
            </w:tcMar>
            <w:vAlign w:val="center"/>
          </w:tcPr>
          <w:p>
            <w:pPr>
              <w:spacing w:line="290" w:lineRule="exact"/>
              <w:rPr>
                <w:rFonts w:ascii="宋体" w:hAnsi="宋体"/>
                <w:color w:val="000000" w:themeColor="text1"/>
                <w:kern w:val="0"/>
                <w:sz w:val="18"/>
                <w:szCs w:val="18"/>
              </w:rPr>
            </w:pPr>
            <w:r>
              <w:rPr>
                <w:rFonts w:hint="eastAsia" w:ascii="宋体" w:hAnsi="宋体"/>
                <w:color w:val="000000" w:themeColor="text1"/>
                <w:kern w:val="0"/>
                <w:sz w:val="18"/>
                <w:szCs w:val="18"/>
                <w:lang w:val="ru-RU"/>
              </w:rPr>
              <w:t>《关于促进城镇职工基本养老保险持续参保缴费的补充通知》（</w:t>
            </w:r>
            <w:r>
              <w:rPr>
                <w:rFonts w:ascii="宋体" w:hAnsi="宋体"/>
                <w:color w:val="000000" w:themeColor="text1"/>
                <w:kern w:val="0"/>
                <w:sz w:val="18"/>
                <w:szCs w:val="18"/>
                <w:lang w:val="ru-RU"/>
              </w:rPr>
              <w:t>吉人社办字﹝</w:t>
            </w:r>
            <w:r>
              <w:rPr>
                <w:rFonts w:ascii="宋体" w:hAnsi="宋体"/>
                <w:color w:val="000000" w:themeColor="text1"/>
                <w:kern w:val="0"/>
                <w:sz w:val="18"/>
                <w:szCs w:val="18"/>
              </w:rPr>
              <w:t>2014﹞57号</w:t>
            </w:r>
            <w:r>
              <w:rPr>
                <w:rFonts w:hint="eastAsia" w:ascii="宋体" w:hAnsi="宋体"/>
                <w:color w:val="000000" w:themeColor="text1"/>
                <w:kern w:val="0"/>
                <w:sz w:val="18"/>
                <w:szCs w:val="18"/>
              </w:rPr>
              <w:t>） 中断缴费时超3年的，除县（市、区）就业服务局核准确认的就业困难人员外，符合下列条件之一的，提供相关材料，经当地社会保险经办机构审核，按中断缴费期间当地使用的在岗职工平均工资的60%、80%和100%为基数补缴养老保险费。五、抚养未成年子女单亲家庭成员，提供离婚或丧偶及抚养未成年子女证明</w:t>
            </w:r>
          </w:p>
        </w:tc>
        <w:tc>
          <w:tcPr>
            <w:tcW w:w="572" w:type="dxa"/>
            <w:tcBorders>
              <w:tl2br w:val="nil"/>
              <w:tr2bl w:val="nil"/>
            </w:tcBorders>
            <w:tcMar>
              <w:left w:w="85" w:type="dxa"/>
              <w:right w:w="85" w:type="dxa"/>
            </w:tcMar>
            <w:vAlign w:val="center"/>
          </w:tcPr>
          <w:p>
            <w:pPr>
              <w:jc w:val="center"/>
              <w:rPr>
                <w:rFonts w:ascii="宋体" w:hAnsi="宋体"/>
                <w:color w:val="000000" w:themeColor="text1"/>
                <w:kern w:val="0"/>
                <w:sz w:val="18"/>
                <w:szCs w:val="18"/>
              </w:rPr>
            </w:pPr>
            <w:r>
              <w:rPr>
                <w:rFonts w:hint="eastAsia" w:ascii="宋体" w:hAnsi="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hint="eastAsia" w:ascii="宋体" w:hAnsi="宋体"/>
                <w:color w:val="000000" w:themeColor="text1"/>
                <w:kern w:val="0"/>
                <w:sz w:val="18"/>
                <w:szCs w:val="18"/>
              </w:rPr>
              <w:t>用于</w:t>
            </w:r>
            <w:r>
              <w:rPr>
                <w:rFonts w:ascii="宋体" w:hAnsi="宋体"/>
                <w:color w:val="000000" w:themeColor="text1"/>
                <w:kern w:val="0"/>
                <w:sz w:val="18"/>
                <w:szCs w:val="18"/>
              </w:rPr>
              <w:t>抚养未成年子女单亲家庭成员中断缴费超3年</w:t>
            </w:r>
            <w:r>
              <w:rPr>
                <w:rFonts w:hint="eastAsia" w:ascii="宋体" w:hAnsi="宋体"/>
                <w:color w:val="000000" w:themeColor="text1"/>
                <w:kern w:val="0"/>
                <w:sz w:val="18"/>
                <w:szCs w:val="18"/>
              </w:rPr>
              <w:t>恢复</w:t>
            </w:r>
            <w:r>
              <w:rPr>
                <w:rFonts w:ascii="宋体" w:hAnsi="宋体"/>
                <w:color w:val="000000" w:themeColor="text1"/>
                <w:kern w:val="0"/>
                <w:sz w:val="18"/>
                <w:szCs w:val="18"/>
              </w:rPr>
              <w:t>按原标准缴费</w:t>
            </w:r>
            <w:r>
              <w:rPr>
                <w:rFonts w:hint="eastAsia" w:ascii="宋体" w:hAnsi="宋体"/>
                <w:color w:val="000000" w:themeColor="text1"/>
                <w:kern w:val="0"/>
                <w:sz w:val="18"/>
                <w:szCs w:val="18"/>
              </w:rPr>
              <w:t>，证明其离婚或丧偶及抚养未成年子女</w:t>
            </w:r>
          </w:p>
        </w:tc>
        <w:tc>
          <w:tcPr>
            <w:tcW w:w="1969" w:type="dxa"/>
            <w:tcBorders>
              <w:tl2br w:val="nil"/>
              <w:tr2bl w:val="nil"/>
            </w:tcBorders>
            <w:tcMar>
              <w:left w:w="85" w:type="dxa"/>
              <w:right w:w="85" w:type="dxa"/>
            </w:tcMar>
            <w:vAlign w:val="center"/>
          </w:tcPr>
          <w:p>
            <w:pPr>
              <w:rPr>
                <w:rFonts w:ascii="宋体" w:hAnsi="宋体"/>
                <w:color w:val="000000" w:themeColor="text1"/>
                <w:kern w:val="0"/>
                <w:sz w:val="18"/>
                <w:szCs w:val="18"/>
                <w:lang w:val="ru-RU"/>
              </w:rPr>
            </w:pPr>
            <w:r>
              <w:rPr>
                <w:rFonts w:ascii="宋体" w:hAnsi="宋体"/>
                <w:color w:val="000000" w:themeColor="text1"/>
                <w:kern w:val="0"/>
                <w:sz w:val="18"/>
                <w:szCs w:val="18"/>
                <w:lang w:val="ru-RU"/>
              </w:rPr>
              <w:t>社区人力资源社会保障服务站</w:t>
            </w:r>
          </w:p>
        </w:tc>
        <w:tc>
          <w:tcPr>
            <w:tcW w:w="1219" w:type="dxa"/>
            <w:tcBorders>
              <w:tl2br w:val="nil"/>
              <w:tr2bl w:val="nil"/>
            </w:tcBorders>
            <w:tcMar>
              <w:left w:w="85" w:type="dxa"/>
              <w:right w:w="85" w:type="dxa"/>
            </w:tcMar>
            <w:vAlign w:val="center"/>
          </w:tcPr>
          <w:p>
            <w:pPr>
              <w:rPr>
                <w:rFonts w:ascii="宋体" w:hAnsi="宋体"/>
                <w:color w:val="000000" w:themeColor="text1"/>
                <w:kern w:val="0"/>
                <w:sz w:val="18"/>
                <w:szCs w:val="18"/>
              </w:rPr>
            </w:pPr>
            <w:r>
              <w:rPr>
                <w:rFonts w:hint="eastAsia" w:ascii="宋体" w:hAnsi="宋体"/>
                <w:color w:val="000000" w:themeColor="text1"/>
                <w:kern w:val="0"/>
                <w:sz w:val="18"/>
                <w:szCs w:val="18"/>
                <w:lang w:val="ru-RU"/>
              </w:rPr>
              <w:t>市社保局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1"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21</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（工伤认定）伤害事故证明或者下落不明的证明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《吉林省实施&lt;工伤保险条例&gt;办法》（省政府令第242号）第十六条　具有下列情形之一的，申请时还应当提供相关证明：（一）属于《工伤保险条例》第十四条第（一）、（二）、（五）项情形的，附具伤害事故证明或者下落不明的证明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用于工伤认定，证明伤害事故和下落不明</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能够证明相关事项的当事人及有关单位等</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市人社局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6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22</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（工伤认定）意外伤害证明</w:t>
            </w:r>
          </w:p>
        </w:tc>
        <w:tc>
          <w:tcPr>
            <w:tcW w:w="3642" w:type="dxa"/>
            <w:tcBorders>
              <w:tl2br w:val="nil"/>
              <w:tr2bl w:val="nil"/>
            </w:tcBorders>
            <w:tcMar>
              <w:left w:w="85" w:type="dxa"/>
              <w:right w:w="85" w:type="dxa"/>
            </w:tcMar>
            <w:vAlign w:val="center"/>
          </w:tcPr>
          <w:p>
            <w:pPr>
              <w:widowControl/>
              <w:spacing w:line="284"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《吉林省实施&lt;工伤保险条例&gt;办法》（省政府令第242号）第十六条 具有下列情形之一的，申请时还应当提供相关证明：（二）属于《工伤保险条例》第十四条第（三）项情形的，附具意外伤害证明或者司法机关出具的相关法律文书</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用于工伤认定，证明意外伤害</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能够证明相关事项的当事人及有关单位等</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市人社局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34"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23</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（工伤认定）在抢险救灾等维护国家利益、公共利益活动中受到伤害的证明</w:t>
            </w:r>
          </w:p>
        </w:tc>
        <w:tc>
          <w:tcPr>
            <w:tcW w:w="3642" w:type="dxa"/>
            <w:tcBorders>
              <w:tl2br w:val="nil"/>
              <w:tr2bl w:val="nil"/>
            </w:tcBorders>
            <w:tcMar>
              <w:left w:w="85" w:type="dxa"/>
              <w:right w:w="85" w:type="dxa"/>
            </w:tcMar>
            <w:vAlign w:val="center"/>
          </w:tcPr>
          <w:p>
            <w:pPr>
              <w:widowControl/>
              <w:spacing w:line="284"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《吉林省实施&lt;工伤保险条例&gt;办法》（省政府令第242号）第十六条　具有下列情形之一的，申请时还应当提供相关证明：（五）属于《工伤保险条例》第十五条第（二）项情形的，附具相关单位出具的有效证明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用于工伤认定，证明是在在抢险救灾等维护国家利益、公共利益活动中受到伤害</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能够证明相关事项的当事人及有关单位等</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市人社局</w:t>
            </w:r>
          </w:p>
        </w:tc>
        <w:tc>
          <w:tcPr>
            <w:tcW w:w="1527" w:type="dxa"/>
            <w:tcBorders>
              <w:tl2br w:val="nil"/>
              <w:tr2bl w:val="nil"/>
            </w:tcBorders>
            <w:tcMar>
              <w:left w:w="85" w:type="dxa"/>
              <w:right w:w="85" w:type="dxa"/>
            </w:tcMar>
            <w:vAlign w:val="center"/>
          </w:tcPr>
          <w:p>
            <w:pPr>
              <w:rPr>
                <w:rFonts w:ascii="宋体" w:hAnsi="宋体" w:cs="仿宋_GB2312"/>
                <w:b/>
                <w:bCs/>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45"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24</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（高校毕业生）低保家庭证明</w:t>
            </w:r>
          </w:p>
        </w:tc>
        <w:tc>
          <w:tcPr>
            <w:tcW w:w="3642" w:type="dxa"/>
            <w:tcBorders>
              <w:tl2br w:val="nil"/>
              <w:tr2bl w:val="nil"/>
            </w:tcBorders>
            <w:tcMar>
              <w:left w:w="85" w:type="dxa"/>
              <w:right w:w="85" w:type="dxa"/>
            </w:tcMar>
            <w:vAlign w:val="center"/>
          </w:tcPr>
          <w:p>
            <w:pPr>
              <w:widowControl/>
              <w:spacing w:line="284"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《关于印发〈就业补助资金管理办法〉的通知》（财社﹝2017﹞164号）附件中第二十七条 符合条件的高校毕业生所在高校申请求职创业补贴应向当地人社部门提供以下材料：毕业生获得国家助学贷款（或享受低保、或身有残疾、建档立卡贫困家庭、贫困残疾人家庭、特困救助供养）证明材料、毕业证书（或学籍证明）复印件等</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用于高校毕业生申领求职创业补贴，证明其为低保家庭毕业生</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县区级以上民政局</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市人社局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71"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25</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（高校毕业生）贫困家庭证明</w:t>
            </w:r>
          </w:p>
        </w:tc>
        <w:tc>
          <w:tcPr>
            <w:tcW w:w="3642" w:type="dxa"/>
            <w:tcBorders>
              <w:tl2br w:val="nil"/>
              <w:tr2bl w:val="nil"/>
            </w:tcBorders>
            <w:tcMar>
              <w:left w:w="85" w:type="dxa"/>
              <w:right w:w="85" w:type="dxa"/>
            </w:tcMar>
            <w:vAlign w:val="center"/>
          </w:tcPr>
          <w:p>
            <w:pPr>
              <w:widowControl/>
              <w:spacing w:line="284"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《关于印发〈就业补助资金管理办法〉的通知》（财社﹝2017﹞164号）附件中第二十七条 符合条件的高校毕业生所在高校申请求职创业补贴应向当地人社部门提供以下材料：毕业生获得国家助学贷款（或享受低保、或身有残疾、建档立卡贫困家庭、贫困残疾人家庭、特困救助供养）证明材料、毕业证书（或学籍证明）复印件等</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用于高校毕业生申领求职创业补贴，证明其为贫困家庭毕业生</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县区级以上扶贫办</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市人社局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88"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26</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无子女且无生活来源的孤寡老人证明</w:t>
            </w:r>
          </w:p>
        </w:tc>
        <w:tc>
          <w:tcPr>
            <w:tcW w:w="3642"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《关于制定全省有线数字电视基本收视维护费标准及有关问题的通知》（吉发改收管字﹝2007</w:t>
            </w:r>
            <w:r>
              <w:rPr>
                <w:rFonts w:ascii="宋体" w:hAnsi="宋体" w:cs="宋体"/>
                <w:color w:val="000000" w:themeColor="text1"/>
                <w:kern w:val="0"/>
                <w:sz w:val="18"/>
                <w:szCs w:val="18"/>
              </w:rPr>
              <w:t>﹞</w:t>
            </w:r>
            <w:r>
              <w:rPr>
                <w:rFonts w:hint="eastAsia" w:ascii="宋体" w:hAnsi="宋体" w:cs="宋体"/>
                <w:color w:val="000000" w:themeColor="text1"/>
                <w:kern w:val="0"/>
                <w:sz w:val="18"/>
                <w:szCs w:val="18"/>
              </w:rPr>
              <w:t>966号） 无子女且无生活来源的孤寡老人，凭当地民政部门出具的证明，免收有线数字电话基本收视维护费</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用于办理免收有线数字电视基本收视维护费业务，证明其为无子女且无生活来源的孤寡老人</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县（市）区、开发区及以下民政部门</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吉视传媒吉林市分公司</w:t>
            </w:r>
          </w:p>
        </w:tc>
        <w:tc>
          <w:tcPr>
            <w:tcW w:w="1527"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1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27</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出生婴儿母亲下落不明证明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《吉林省公安机关办理户籍和居民身份证业务规范》（吉公办字﹝2013﹞69号）第五条 （二）非婚生育婴儿申报户口，原则上需随母登记落户。凭《出生医学证明》、母亲居民户口簿到母亲户籍所在地公安派出所办理落户手续；母亲出走、下落不明、只能随父落户的，凭《出生医学证明》、国内三级医院或司法鉴定机构等部门出具的《亲子鉴定证书》或社区（村委会）出具的证明，经父亲户籍所在地公安派出所调查核实后办理落户手续</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用于出生婴儿母亲下落不明随父落户业务，证明非婚生育婴儿母亲下落不明</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村委会、居委会</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县（市）区公安（分）局及派出所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0" w:hRule="atLeast"/>
          <w:jc w:val="center"/>
        </w:trPr>
        <w:tc>
          <w:tcPr>
            <w:tcW w:w="496" w:type="dxa"/>
            <w:tcBorders>
              <w:tl2br w:val="nil"/>
              <w:tr2bl w:val="nil"/>
            </w:tcBorders>
            <w:tcMar>
              <w:left w:w="85" w:type="dxa"/>
              <w:right w:w="85" w:type="dxa"/>
            </w:tcMar>
            <w:vAlign w:val="center"/>
          </w:tcPr>
          <w:p>
            <w:pPr>
              <w:autoSpaceDE w:val="0"/>
              <w:autoSpaceDN w:val="0"/>
              <w:adjustRightInd w:val="0"/>
              <w:spacing w:line="32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28</w:t>
            </w:r>
          </w:p>
        </w:tc>
        <w:tc>
          <w:tcPr>
            <w:tcW w:w="1613" w:type="dxa"/>
            <w:tcBorders>
              <w:tl2br w:val="nil"/>
              <w:tr2bl w:val="nil"/>
            </w:tcBorders>
            <w:tcMar>
              <w:left w:w="85" w:type="dxa"/>
              <w:right w:w="85" w:type="dxa"/>
            </w:tcMar>
            <w:vAlign w:val="center"/>
          </w:tcPr>
          <w:p>
            <w:pPr>
              <w:autoSpaceDE w:val="0"/>
              <w:autoSpaceDN w:val="0"/>
              <w:adjustRightInd w:val="0"/>
              <w:spacing w:line="32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机动车因自然灾害灭失的证明</w:t>
            </w:r>
          </w:p>
        </w:tc>
        <w:tc>
          <w:tcPr>
            <w:tcW w:w="3642" w:type="dxa"/>
            <w:tcBorders>
              <w:tl2br w:val="nil"/>
              <w:tr2bl w:val="nil"/>
            </w:tcBorders>
            <w:tcMar>
              <w:left w:w="85" w:type="dxa"/>
              <w:right w:w="85" w:type="dxa"/>
            </w:tcMar>
            <w:vAlign w:val="center"/>
          </w:tcPr>
          <w:p>
            <w:pPr>
              <w:spacing w:line="32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《机动车登记规定》（中华人民共和国公安部令第124号）第二十九条 属于本规定第二十八条第一款规定的情形，机动车所有人申请注销登记的，应当填写申请表，并提交以下证明、凭证：（三）属于机动车灭失的，还应当提交机动车所有人的身份证明和机动车灭失证明。</w:t>
            </w:r>
          </w:p>
          <w:p>
            <w:pPr>
              <w:spacing w:line="32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第六十四条 因自然灾害造成机动车灭失的证明是，自然灾害发生地的街道、乡、镇以上政府部门出具的机动车因自然灾害造成灭失的证明</w:t>
            </w:r>
          </w:p>
        </w:tc>
        <w:tc>
          <w:tcPr>
            <w:tcW w:w="572" w:type="dxa"/>
            <w:tcBorders>
              <w:tl2br w:val="nil"/>
              <w:tr2bl w:val="nil"/>
            </w:tcBorders>
            <w:tcMar>
              <w:left w:w="85" w:type="dxa"/>
              <w:right w:w="85" w:type="dxa"/>
            </w:tcMar>
            <w:vAlign w:val="center"/>
          </w:tcPr>
          <w:p>
            <w:pPr>
              <w:autoSpaceDE w:val="0"/>
              <w:autoSpaceDN w:val="0"/>
              <w:adjustRightInd w:val="0"/>
              <w:spacing w:line="32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autoSpaceDE w:val="0"/>
              <w:autoSpaceDN w:val="0"/>
              <w:adjustRightInd w:val="0"/>
              <w:spacing w:line="32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用于机动车所有人机动车注销登记，证明机动车因自然灾害灭失</w:t>
            </w:r>
          </w:p>
        </w:tc>
        <w:tc>
          <w:tcPr>
            <w:tcW w:w="1969" w:type="dxa"/>
            <w:tcBorders>
              <w:tl2br w:val="nil"/>
              <w:tr2bl w:val="nil"/>
            </w:tcBorders>
            <w:tcMar>
              <w:left w:w="85" w:type="dxa"/>
              <w:right w:w="85" w:type="dxa"/>
            </w:tcMar>
            <w:vAlign w:val="center"/>
          </w:tcPr>
          <w:p>
            <w:pPr>
              <w:spacing w:line="32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自然灾害发生地的街道、乡、镇以上的政府部门</w:t>
            </w:r>
          </w:p>
        </w:tc>
        <w:tc>
          <w:tcPr>
            <w:tcW w:w="1219" w:type="dxa"/>
            <w:tcBorders>
              <w:tl2br w:val="nil"/>
              <w:tr2bl w:val="nil"/>
            </w:tcBorders>
            <w:tcMar>
              <w:left w:w="85" w:type="dxa"/>
              <w:right w:w="85" w:type="dxa"/>
            </w:tcMar>
            <w:vAlign w:val="center"/>
          </w:tcPr>
          <w:p>
            <w:pPr>
              <w:autoSpaceDE w:val="0"/>
              <w:autoSpaceDN w:val="0"/>
              <w:adjustRightInd w:val="0"/>
              <w:spacing w:line="32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市公安局（车辆管理所）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29"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29</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孤寡老人证明</w:t>
            </w:r>
          </w:p>
        </w:tc>
        <w:tc>
          <w:tcPr>
            <w:tcW w:w="3642" w:type="dxa"/>
            <w:tcBorders>
              <w:tl2br w:val="nil"/>
              <w:tr2bl w:val="nil"/>
            </w:tcBorders>
            <w:tcMar>
              <w:left w:w="85" w:type="dxa"/>
              <w:right w:w="85" w:type="dxa"/>
            </w:tcMar>
            <w:vAlign w:val="center"/>
          </w:tcPr>
          <w:p>
            <w:pPr>
              <w:widowControl/>
              <w:spacing w:line="30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《吉林省公安机关办理户籍和居民身份证业务规范》（吉公办字﹝2013﹞69号）第十二条第四款 孤寡老人、父母双亡的未满18周岁的未成年人或无劳动能力的人投靠亲属的，凭民政部门出具的相关证明，到近亲属或共同居住的赡养人、抚养人户籍所在地公安派出所申请办理落户手续</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用于办理孤寡老人落户业务，证明其与投靠人为近亲属或共同居住的赡养人、抚养人关系</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民政部门</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县（市）区公安（分）局及派出所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73"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30</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父母双亡未成年人证明</w:t>
            </w:r>
          </w:p>
        </w:tc>
        <w:tc>
          <w:tcPr>
            <w:tcW w:w="3642" w:type="dxa"/>
            <w:tcBorders>
              <w:tl2br w:val="nil"/>
              <w:tr2bl w:val="nil"/>
            </w:tcBorders>
            <w:tcMar>
              <w:left w:w="85" w:type="dxa"/>
              <w:right w:w="85" w:type="dxa"/>
            </w:tcMar>
            <w:vAlign w:val="center"/>
          </w:tcPr>
          <w:p>
            <w:pPr>
              <w:widowControl/>
              <w:spacing w:line="30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《吉林省公安机关办理户籍和居民身份证业务规范》（吉公办字﹝2013﹞69号）第十二条 孤寡老人、父母双亡的未满18周岁的未成年人或无劳动能力的人投靠亲属的，凭民政部门出具的相关证明，到近亲属或共同居住的赡养人、抚养人户籍所在地公安派出所申请办理落户手续</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用于办理父母双亡未成年人落户业务，证明其与投靠人为近亲属或共同居住的赡养人、抚养人关系</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民政部门</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县（市）区公安（分）局及派出所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6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31</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无劳动能力</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《吉林省公安机关办理户籍和居民身份证业务规范》（吉公办字﹝2013﹞69号）第十二条 孤寡老人、父母双亡的未满18周岁的未成年人或无劳动能力的人投靠亲属的，凭民政部门出具的相关证明，到近亲属或共同居住的赡养人、抚养人户籍所在地公安派出所申请办理落户手续</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用于办理无劳动能力人落户业务，证明其与投靠人为近亲属或共同居住的赡养人、抚养人关系</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民政部门</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县（市）区公安（分）局及派出所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56"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32</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无原始户籍资料人员在当地居住证明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《吉林省公安机关办理户籍和居民身份证业务规范》（吉公办字﹝2013﹞69号）第二十七条 人口信息管理系统中无人口信息，但本人持有居民户口簿、居民身份证或派出所有《常住人口登记表》等原始户籍资料的，县（市、区）公安机关户政管理部门凭原始户籍资料上记载情况准予办理恢复手续；无原始户籍资料的，原户籍注销地公安派出所凭本人申请、社区（村委会）证明，受理并开展调查，情况属实的，报县（市、区）公安机关户政管理部门审批后再办理落户手续</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用于（恢复）户口登记，证明无原始户籍资料人员在当地居住</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居委会、村委会</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县（市）区公安（分）局及派出所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41"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33</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被拘留人升学考试、子女出生或近亲属病危、死亡等特殊情形证明</w:t>
            </w:r>
          </w:p>
        </w:tc>
        <w:tc>
          <w:tcPr>
            <w:tcW w:w="3642" w:type="dxa"/>
            <w:tcBorders>
              <w:tl2br w:val="nil"/>
              <w:tr2bl w:val="nil"/>
            </w:tcBorders>
            <w:tcMar>
              <w:left w:w="85" w:type="dxa"/>
              <w:right w:w="85" w:type="dxa"/>
            </w:tcMar>
            <w:vAlign w:val="center"/>
          </w:tcPr>
          <w:p>
            <w:pPr>
              <w:widowControl/>
              <w:spacing w:line="28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1.《拘留所条例》（2012年2月23日国务院令第614号公布施行）第二十七条 </w:t>
            </w:r>
            <w:r>
              <w:rPr>
                <w:rFonts w:ascii="宋体" w:hAnsi="宋体" w:cs="宋体"/>
                <w:color w:val="000000" w:themeColor="text1"/>
                <w:kern w:val="0"/>
                <w:sz w:val="18"/>
                <w:szCs w:val="18"/>
              </w:rPr>
              <w:t>被拘留人遇有参加升学考试、子女出生或者近亲属病危、死亡等情形的，被拘留人或者其近亲属可以提出请假出所的申请。</w:t>
            </w:r>
          </w:p>
          <w:p>
            <w:pPr>
              <w:widowControl/>
              <w:spacing w:line="28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2.《拘留所条例实施办法》（2012年12月14日公安部令第126号发布施行）第五十六条 被拘留人遇有参加升学考试、子女出生或者近亲属病危、死亡等情形的，被拘留人或者其近亲属可以提出请假出所的申请，并提供相关证明材料</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用于被拘留人请假出所，证明其存在升学考试、子女出生或近亲属病危、死亡等特殊情形</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学校、医院、公安机关</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吉林市拘留所</w:t>
            </w:r>
          </w:p>
        </w:tc>
        <w:tc>
          <w:tcPr>
            <w:tcW w:w="1527"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0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34</w:t>
            </w:r>
          </w:p>
        </w:tc>
        <w:tc>
          <w:tcPr>
            <w:tcW w:w="1613" w:type="dxa"/>
            <w:tcBorders>
              <w:tl2br w:val="nil"/>
              <w:tr2bl w:val="nil"/>
            </w:tcBorders>
            <w:tcMar>
              <w:left w:w="85" w:type="dxa"/>
              <w:right w:w="85" w:type="dxa"/>
            </w:tcMar>
            <w:vAlign w:val="center"/>
          </w:tcPr>
          <w:p>
            <w:pPr>
              <w:jc w:val="cente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军人和武装警察尚未领取居民身份证证明</w:t>
            </w:r>
          </w:p>
        </w:tc>
        <w:tc>
          <w:tcPr>
            <w:tcW w:w="3642" w:type="dxa"/>
            <w:tcBorders>
              <w:tl2br w:val="nil"/>
              <w:tr2bl w:val="nil"/>
            </w:tcBorders>
            <w:tcMar>
              <w:left w:w="85" w:type="dxa"/>
              <w:right w:w="85" w:type="dxa"/>
            </w:tcMar>
            <w:vAlign w:val="center"/>
          </w:tcPr>
          <w:p>
            <w:pPr>
              <w:spacing w:line="286" w:lineRule="exact"/>
              <w:rPr>
                <w:rFonts w:ascii="宋体" w:hAnsi="宋体" w:cs="仿宋_GB2312"/>
                <w:color w:val="000000" w:themeColor="text1"/>
                <w:kern w:val="0"/>
                <w:sz w:val="18"/>
                <w:szCs w:val="18"/>
                <w:lang w:val="ru-RU"/>
              </w:rPr>
            </w:pPr>
            <w:r>
              <w:rPr>
                <w:rFonts w:hint="eastAsia" w:ascii="宋体" w:hAnsi="宋体" w:cs="仿宋_GB2312"/>
                <w:bCs/>
                <w:color w:val="000000" w:themeColor="text1"/>
                <w:kern w:val="0"/>
                <w:sz w:val="18"/>
                <w:szCs w:val="18"/>
                <w:lang w:val="ru-RU"/>
              </w:rPr>
              <w:t xml:space="preserve">《中国人民银行关于改进个人银行账户服务加强账户管理的通知》 </w:t>
            </w:r>
            <w:r>
              <w:rPr>
                <w:rFonts w:hint="eastAsia" w:ascii="宋体" w:hAnsi="宋体" w:cs="仿宋_GB2312"/>
                <w:color w:val="000000" w:themeColor="text1"/>
                <w:kern w:val="0"/>
                <w:sz w:val="18"/>
                <w:szCs w:val="18"/>
                <w:lang w:val="ru-RU"/>
              </w:rPr>
              <w:t>军人、武装警察尚未领取居民身份证的，除出具军人和武装警察身份证件外，还应出具军人保障卡或所在单位开具的尚未领取居民身份证的证明材料</w:t>
            </w:r>
          </w:p>
        </w:tc>
        <w:tc>
          <w:tcPr>
            <w:tcW w:w="572" w:type="dxa"/>
            <w:tcBorders>
              <w:tl2br w:val="nil"/>
              <w:tr2bl w:val="nil"/>
            </w:tcBorders>
            <w:tcMar>
              <w:left w:w="85" w:type="dxa"/>
              <w:right w:w="85" w:type="dxa"/>
            </w:tcMar>
            <w:vAlign w:val="center"/>
          </w:tcPr>
          <w:p>
            <w:pPr>
              <w:jc w:val="center"/>
              <w:rPr>
                <w:rFonts w:ascii="宋体" w:hAnsi="宋体" w:cs="仿宋_GB2312"/>
                <w:color w:val="000000" w:themeColor="text1"/>
                <w:kern w:val="0"/>
                <w:sz w:val="18"/>
                <w:szCs w:val="18"/>
                <w:lang w:val="ru-RU"/>
              </w:rPr>
            </w:pPr>
            <w:r>
              <w:rPr>
                <w:rFonts w:hint="eastAsia" w:ascii="宋体" w:hAnsi="宋体" w:cs="Calibri"/>
                <w:color w:val="000000" w:themeColor="text1"/>
                <w:kern w:val="0"/>
                <w:sz w:val="18"/>
                <w:szCs w:val="18"/>
                <w:lang w:val="ru-RU"/>
              </w:rPr>
              <w:t>规定依据</w:t>
            </w:r>
          </w:p>
        </w:tc>
        <w:tc>
          <w:tcPr>
            <w:tcW w:w="243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用于办理须提供证件办理的业务，证明其未取得居民身份证</w:t>
            </w:r>
          </w:p>
        </w:tc>
        <w:tc>
          <w:tcPr>
            <w:tcW w:w="196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原所在部队</w:t>
            </w:r>
          </w:p>
        </w:tc>
        <w:tc>
          <w:tcPr>
            <w:tcW w:w="121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Calibri"/>
                <w:color w:val="000000" w:themeColor="text1"/>
                <w:kern w:val="0"/>
                <w:sz w:val="18"/>
                <w:szCs w:val="18"/>
                <w:lang w:val="ru-RU"/>
              </w:rPr>
              <w:t>银行</w:t>
            </w:r>
          </w:p>
        </w:tc>
        <w:tc>
          <w:tcPr>
            <w:tcW w:w="1527"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56"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35</w:t>
            </w:r>
          </w:p>
        </w:tc>
        <w:tc>
          <w:tcPr>
            <w:tcW w:w="1613" w:type="dxa"/>
            <w:tcBorders>
              <w:tl2br w:val="nil"/>
              <w:tr2bl w:val="nil"/>
            </w:tcBorders>
            <w:tcMar>
              <w:left w:w="85" w:type="dxa"/>
              <w:right w:w="85" w:type="dxa"/>
            </w:tcMar>
            <w:vAlign w:val="center"/>
          </w:tcPr>
          <w:p>
            <w:pPr>
              <w:jc w:val="cente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印章销毁证明</w:t>
            </w:r>
          </w:p>
        </w:tc>
        <w:tc>
          <w:tcPr>
            <w:tcW w:w="3642" w:type="dxa"/>
            <w:tcBorders>
              <w:tl2br w:val="nil"/>
              <w:tr2bl w:val="nil"/>
            </w:tcBorders>
            <w:tcMar>
              <w:left w:w="85" w:type="dxa"/>
              <w:right w:w="85" w:type="dxa"/>
            </w:tcMar>
            <w:vAlign w:val="center"/>
          </w:tcPr>
          <w:p>
            <w:pPr>
              <w:spacing w:line="286" w:lineRule="exact"/>
              <w:rPr>
                <w:rFonts w:ascii="宋体" w:hAnsi="宋体" w:cs="仿宋_GB2312"/>
                <w:color w:val="000000" w:themeColor="text1"/>
                <w:kern w:val="0"/>
                <w:sz w:val="18"/>
                <w:szCs w:val="18"/>
                <w:lang w:val="ru-RU"/>
              </w:rPr>
            </w:pPr>
            <w:r>
              <w:rPr>
                <w:rFonts w:hint="eastAsia" w:ascii="宋体" w:hAnsi="宋体" w:cs="仿宋_GB2312"/>
                <w:color w:val="000000" w:themeColor="text1"/>
                <w:sz w:val="18"/>
                <w:szCs w:val="18"/>
                <w:lang w:val="zh-CN"/>
              </w:rPr>
              <w:t>《人民币结算账户管理办法实施细则》 存款人申请更换预留公章或财务专用章但无法提供原预留公章或财务专用章的，应向开户银行出具开户许可证、营业执照正本，司法部门证明等相关证明文件</w:t>
            </w:r>
          </w:p>
        </w:tc>
        <w:tc>
          <w:tcPr>
            <w:tcW w:w="572" w:type="dxa"/>
            <w:tcBorders>
              <w:tl2br w:val="nil"/>
              <w:tr2bl w:val="nil"/>
            </w:tcBorders>
            <w:tcMar>
              <w:left w:w="85" w:type="dxa"/>
              <w:right w:w="85" w:type="dxa"/>
            </w:tcMar>
            <w:vAlign w:val="center"/>
          </w:tcPr>
          <w:p>
            <w:pPr>
              <w:jc w:val="cente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推定依据</w:t>
            </w:r>
          </w:p>
        </w:tc>
        <w:tc>
          <w:tcPr>
            <w:tcW w:w="243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用于办理变更印章业务，证明其确实无法提供原印章</w:t>
            </w:r>
          </w:p>
        </w:tc>
        <w:tc>
          <w:tcPr>
            <w:tcW w:w="196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仿宋_GB2312"/>
                <w:color w:val="000000" w:themeColor="text1"/>
                <w:kern w:val="0"/>
                <w:sz w:val="18"/>
                <w:szCs w:val="18"/>
                <w:lang w:val="ru-RU"/>
              </w:rPr>
              <w:t>公安机关备案的印章刻制单位</w:t>
            </w:r>
          </w:p>
        </w:tc>
        <w:tc>
          <w:tcPr>
            <w:tcW w:w="1219" w:type="dxa"/>
            <w:tcBorders>
              <w:tl2br w:val="nil"/>
              <w:tr2bl w:val="nil"/>
            </w:tcBorders>
            <w:tcMar>
              <w:left w:w="85" w:type="dxa"/>
              <w:right w:w="85" w:type="dxa"/>
            </w:tcMar>
            <w:vAlign w:val="center"/>
          </w:tcPr>
          <w:p>
            <w:pPr>
              <w:rPr>
                <w:rFonts w:ascii="宋体" w:hAnsi="宋体" w:cs="仿宋_GB2312"/>
                <w:color w:val="000000" w:themeColor="text1"/>
                <w:kern w:val="0"/>
                <w:sz w:val="18"/>
                <w:szCs w:val="18"/>
                <w:lang w:val="ru-RU"/>
              </w:rPr>
            </w:pPr>
            <w:r>
              <w:rPr>
                <w:rFonts w:hint="eastAsia" w:ascii="宋体" w:hAnsi="宋体" w:cs="Calibri"/>
                <w:color w:val="000000" w:themeColor="text1"/>
                <w:kern w:val="0"/>
                <w:sz w:val="18"/>
                <w:szCs w:val="18"/>
                <w:lang w:val="ru-RU"/>
              </w:rPr>
              <w:t>银行</w:t>
            </w:r>
          </w:p>
        </w:tc>
        <w:tc>
          <w:tcPr>
            <w:tcW w:w="1527"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63"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36</w:t>
            </w:r>
          </w:p>
        </w:tc>
        <w:tc>
          <w:tcPr>
            <w:tcW w:w="1613" w:type="dxa"/>
            <w:tcBorders>
              <w:tl2br w:val="nil"/>
              <w:tr2bl w:val="nil"/>
            </w:tcBorders>
            <w:tcMar>
              <w:left w:w="85" w:type="dxa"/>
              <w:right w:w="85" w:type="dxa"/>
            </w:tcMar>
            <w:vAlign w:val="center"/>
          </w:tcPr>
          <w:p>
            <w:pPr>
              <w:jc w:val="cente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存款人特殊情况证明</w:t>
            </w:r>
          </w:p>
        </w:tc>
        <w:tc>
          <w:tcPr>
            <w:tcW w:w="3642" w:type="dxa"/>
            <w:tcBorders>
              <w:tl2br w:val="nil"/>
              <w:tr2bl w:val="nil"/>
            </w:tcBorders>
            <w:tcMar>
              <w:left w:w="85" w:type="dxa"/>
              <w:right w:w="85" w:type="dxa"/>
            </w:tcMar>
            <w:vAlign w:val="center"/>
          </w:tcPr>
          <w:p>
            <w:pPr>
              <w:spacing w:line="286" w:lineRule="exact"/>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《中国人民银行关于改进个人银行账户服务加强账户管理的通知》</w:t>
            </w:r>
            <w:r>
              <w:rPr>
                <w:rFonts w:hint="eastAsia" w:ascii="宋体" w:hAnsi="宋体" w:cs="Calibri"/>
                <w:color w:val="000000" w:themeColor="text1"/>
                <w:kern w:val="0"/>
                <w:sz w:val="18"/>
                <w:szCs w:val="18"/>
              </w:rPr>
              <w:t>（银发﹝2015﹞392号</w:t>
            </w:r>
            <w:r>
              <w:rPr>
                <w:rFonts w:hint="eastAsia" w:ascii="宋体" w:hAnsi="宋体" w:cs="Calibri"/>
                <w:color w:val="000000" w:themeColor="text1"/>
                <w:kern w:val="0"/>
                <w:sz w:val="18"/>
                <w:szCs w:val="18"/>
                <w:lang w:val="ru-RU"/>
              </w:rPr>
              <w:t xml:space="preserve">） 因身患重病、行动不便、无自理能力等无法自行前往银行的存款人办理挂失、密码重置、销户等业务时，银行可采取上门服务方式办理，也可由配偶、父母或成年子女凭合法的委托书、代理人与被代理人的关系证明文件、被代理人所在社区居委会（村民委员会）及以上组织或县级以上医院出具的特殊情况证明代理办理 </w:t>
            </w:r>
          </w:p>
        </w:tc>
        <w:tc>
          <w:tcPr>
            <w:tcW w:w="572" w:type="dxa"/>
            <w:tcBorders>
              <w:tl2br w:val="nil"/>
              <w:tr2bl w:val="nil"/>
            </w:tcBorders>
            <w:tcMar>
              <w:left w:w="85" w:type="dxa"/>
              <w:right w:w="85" w:type="dxa"/>
            </w:tcMar>
            <w:vAlign w:val="center"/>
          </w:tcPr>
          <w:p>
            <w:pPr>
              <w:jc w:val="cente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规定依据</w:t>
            </w:r>
          </w:p>
        </w:tc>
        <w:tc>
          <w:tcPr>
            <w:tcW w:w="243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用于办理挂失、密码重置、销户等业务等特定业务，证明存款人无法自行前往银行的原因是因患重病、行动不便、无自理能力等特殊情况</w:t>
            </w:r>
          </w:p>
        </w:tc>
        <w:tc>
          <w:tcPr>
            <w:tcW w:w="196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被代理人所在社区居委会（村民委员会）及以上组织或县级以上医院</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银行</w:t>
            </w:r>
          </w:p>
        </w:tc>
        <w:tc>
          <w:tcPr>
            <w:tcW w:w="1527" w:type="dxa"/>
            <w:tcBorders>
              <w:tl2br w:val="nil"/>
              <w:tr2bl w:val="nil"/>
            </w:tcBorders>
            <w:tcMar>
              <w:left w:w="85" w:type="dxa"/>
              <w:right w:w="85" w:type="dxa"/>
            </w:tcMar>
            <w:vAlign w:val="center"/>
          </w:tcPr>
          <w:p>
            <w:pPr>
              <w:rPr>
                <w:rFonts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原则上由银行上门办理，银行上门办理确实不便的由相关单位开具证明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09"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37</w:t>
            </w:r>
          </w:p>
        </w:tc>
        <w:tc>
          <w:tcPr>
            <w:tcW w:w="1613" w:type="dxa"/>
            <w:tcBorders>
              <w:tl2br w:val="nil"/>
              <w:tr2bl w:val="nil"/>
            </w:tcBorders>
            <w:tcMar>
              <w:left w:w="85" w:type="dxa"/>
              <w:right w:w="85" w:type="dxa"/>
            </w:tcMar>
            <w:vAlign w:val="center"/>
          </w:tcPr>
          <w:p>
            <w:pPr>
              <w:jc w:val="center"/>
              <w:rPr>
                <w:rFonts w:ascii="宋体" w:hAnsi="宋体" w:cs="Arial"/>
                <w:color w:val="000000" w:themeColor="text1"/>
                <w:kern w:val="0"/>
                <w:sz w:val="18"/>
                <w:szCs w:val="18"/>
              </w:rPr>
            </w:pPr>
            <w:r>
              <w:rPr>
                <w:rFonts w:hint="eastAsia" w:ascii="宋体" w:hAnsi="宋体" w:cs="Arial"/>
                <w:color w:val="000000" w:themeColor="text1"/>
                <w:kern w:val="0"/>
                <w:sz w:val="18"/>
                <w:szCs w:val="18"/>
              </w:rPr>
              <w:t>华侨人才引进或资金引进证明</w:t>
            </w:r>
          </w:p>
        </w:tc>
        <w:tc>
          <w:tcPr>
            <w:tcW w:w="3642" w:type="dxa"/>
            <w:tcBorders>
              <w:tl2br w:val="nil"/>
              <w:tr2bl w:val="nil"/>
            </w:tcBorders>
            <w:tcMar>
              <w:left w:w="85" w:type="dxa"/>
              <w:right w:w="85" w:type="dxa"/>
            </w:tcMar>
            <w:vAlign w:val="center"/>
          </w:tcPr>
          <w:p>
            <w:pPr>
              <w:spacing w:line="286" w:lineRule="exact"/>
              <w:rPr>
                <w:rFonts w:ascii="宋体" w:hAnsi="宋体" w:cs="Arial"/>
                <w:color w:val="000000" w:themeColor="text1"/>
                <w:kern w:val="0"/>
                <w:sz w:val="18"/>
                <w:szCs w:val="18"/>
              </w:rPr>
            </w:pPr>
            <w:r>
              <w:rPr>
                <w:rFonts w:hint="eastAsia" w:ascii="宋体" w:hAnsi="宋体" w:cs="Arial"/>
                <w:color w:val="000000" w:themeColor="text1"/>
                <w:kern w:val="0"/>
                <w:sz w:val="18"/>
                <w:szCs w:val="18"/>
              </w:rPr>
              <w:t>《吉林省华侨回国定居办理工作实施办法（暂行）》（吉侨﹝2013﹞40号）第六条 属于当地人才引进或资金引进申请定居的华侨，由专门部门予以确认，拟定居地既可以选择华侨本人现</w:t>
            </w:r>
            <w:r>
              <w:rPr>
                <w:rFonts w:hint="eastAsia" w:ascii="宋体" w:hAnsi="宋体" w:cs="Arial"/>
                <w:color w:val="000000" w:themeColor="text1"/>
                <w:spacing w:val="-11"/>
                <w:kern w:val="0"/>
                <w:sz w:val="18"/>
                <w:szCs w:val="18"/>
              </w:rPr>
              <w:t>居住</w:t>
            </w:r>
            <w:r>
              <w:rPr>
                <w:rFonts w:hint="eastAsia" w:ascii="宋体" w:hAnsi="宋体" w:cs="Arial"/>
                <w:color w:val="000000" w:themeColor="text1"/>
                <w:kern w:val="0"/>
                <w:sz w:val="18"/>
                <w:szCs w:val="18"/>
              </w:rPr>
              <w:t>所在地，也可按华侨本人意愿选择定居地</w:t>
            </w:r>
          </w:p>
        </w:tc>
        <w:tc>
          <w:tcPr>
            <w:tcW w:w="572" w:type="dxa"/>
            <w:tcBorders>
              <w:tl2br w:val="nil"/>
              <w:tr2bl w:val="nil"/>
            </w:tcBorders>
            <w:tcMar>
              <w:left w:w="85" w:type="dxa"/>
              <w:right w:w="85" w:type="dxa"/>
            </w:tcMar>
            <w:vAlign w:val="center"/>
          </w:tcPr>
          <w:p>
            <w:pPr>
              <w:jc w:val="center"/>
              <w:rPr>
                <w:rFonts w:ascii="宋体" w:hAnsi="宋体" w:cs="Arial"/>
                <w:color w:val="000000" w:themeColor="text1"/>
                <w:kern w:val="0"/>
                <w:sz w:val="18"/>
                <w:szCs w:val="18"/>
              </w:rPr>
            </w:pPr>
            <w:r>
              <w:rPr>
                <w:rFonts w:hint="eastAsia" w:ascii="宋体" w:hAnsi="宋体" w:cs="Arial"/>
                <w:color w:val="000000" w:themeColor="text1"/>
                <w:kern w:val="0"/>
                <w:sz w:val="18"/>
                <w:szCs w:val="18"/>
              </w:rPr>
              <w:t>推定依据</w:t>
            </w:r>
          </w:p>
        </w:tc>
        <w:tc>
          <w:tcPr>
            <w:tcW w:w="243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用于办理华侨回国定居手续，证明其为人才引进或资金引进</w:t>
            </w:r>
          </w:p>
        </w:tc>
        <w:tc>
          <w:tcPr>
            <w:tcW w:w="196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当地人才引进或招商引资部门</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市侨办</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52"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38</w:t>
            </w:r>
          </w:p>
        </w:tc>
        <w:tc>
          <w:tcPr>
            <w:tcW w:w="1613" w:type="dxa"/>
            <w:tcBorders>
              <w:tl2br w:val="nil"/>
              <w:tr2bl w:val="nil"/>
            </w:tcBorders>
            <w:tcMar>
              <w:left w:w="85" w:type="dxa"/>
              <w:right w:w="85" w:type="dxa"/>
            </w:tcMar>
            <w:vAlign w:val="center"/>
          </w:tcPr>
          <w:p>
            <w:pPr>
              <w:jc w:val="center"/>
              <w:rPr>
                <w:rFonts w:ascii="宋体" w:hAnsi="宋体" w:cs="Arial"/>
                <w:color w:val="000000" w:themeColor="text1"/>
                <w:kern w:val="0"/>
                <w:sz w:val="18"/>
                <w:szCs w:val="18"/>
              </w:rPr>
            </w:pPr>
            <w:r>
              <w:rPr>
                <w:rFonts w:hint="eastAsia" w:ascii="宋体" w:hAnsi="宋体" w:cs="Arial"/>
                <w:color w:val="000000" w:themeColor="text1"/>
                <w:kern w:val="0"/>
                <w:sz w:val="18"/>
                <w:szCs w:val="18"/>
              </w:rPr>
              <w:t>气象灾害证明</w:t>
            </w:r>
          </w:p>
        </w:tc>
        <w:tc>
          <w:tcPr>
            <w:tcW w:w="3642" w:type="dxa"/>
            <w:tcBorders>
              <w:tl2br w:val="nil"/>
              <w:tr2bl w:val="nil"/>
            </w:tcBorders>
            <w:tcMar>
              <w:left w:w="85" w:type="dxa"/>
              <w:right w:w="85" w:type="dxa"/>
            </w:tcMar>
            <w:vAlign w:val="center"/>
          </w:tcPr>
          <w:p>
            <w:pPr>
              <w:spacing w:line="286" w:lineRule="exact"/>
              <w:rPr>
                <w:rFonts w:ascii="宋体" w:hAnsi="宋体" w:cs="Arial"/>
                <w:color w:val="000000" w:themeColor="text1"/>
                <w:kern w:val="0"/>
                <w:sz w:val="18"/>
                <w:szCs w:val="18"/>
              </w:rPr>
            </w:pPr>
            <w:r>
              <w:rPr>
                <w:rFonts w:hint="eastAsia" w:ascii="宋体" w:hAnsi="宋体" w:cs="宋体"/>
                <w:color w:val="000000" w:themeColor="text1"/>
                <w:kern w:val="0"/>
                <w:sz w:val="18"/>
                <w:szCs w:val="18"/>
              </w:rPr>
              <w:t>《吉林省气象条例》第二十八条 保险索赔、司法取证等需要的气象灾害证明材料，应当由气象灾害发生地的气象主管机构所属气象台站出具，并保证出具材料的真实性；当气象灾害难以确定时，由省级气象主管机构组织有关专家进行灾害评估鉴定，出具书面证明</w:t>
            </w:r>
          </w:p>
        </w:tc>
        <w:tc>
          <w:tcPr>
            <w:tcW w:w="572" w:type="dxa"/>
            <w:tcBorders>
              <w:tl2br w:val="nil"/>
              <w:tr2bl w:val="nil"/>
            </w:tcBorders>
            <w:tcMar>
              <w:left w:w="85" w:type="dxa"/>
              <w:right w:w="85" w:type="dxa"/>
            </w:tcMar>
            <w:vAlign w:val="center"/>
          </w:tcPr>
          <w:p>
            <w:pPr>
              <w:jc w:val="center"/>
              <w:rPr>
                <w:rFonts w:ascii="宋体" w:hAnsi="宋体" w:cs="Arial"/>
                <w:color w:val="000000" w:themeColor="text1"/>
                <w:kern w:val="0"/>
                <w:sz w:val="18"/>
                <w:szCs w:val="18"/>
              </w:rPr>
            </w:pPr>
            <w:r>
              <w:rPr>
                <w:rFonts w:hint="eastAsia" w:ascii="宋体" w:hAnsi="宋体" w:cs="Arial"/>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用于保险索赔、司法取证，证明气象灾害发生地的气象灾害情况</w:t>
            </w:r>
          </w:p>
        </w:tc>
        <w:tc>
          <w:tcPr>
            <w:tcW w:w="196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市气象局</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保险公司、法院</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4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39</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长期照护证明</w:t>
            </w:r>
          </w:p>
        </w:tc>
        <w:tc>
          <w:tcPr>
            <w:tcW w:w="3642" w:type="dxa"/>
            <w:tcBorders>
              <w:tl2br w:val="nil"/>
              <w:tr2bl w:val="nil"/>
            </w:tcBorders>
            <w:tcMar>
              <w:left w:w="85" w:type="dxa"/>
              <w:right w:w="85" w:type="dxa"/>
            </w:tcMar>
            <w:vAlign w:val="center"/>
          </w:tcPr>
          <w:p>
            <w:pPr>
              <w:widowControl/>
              <w:spacing w:line="28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《吉林省困难残疾人生活补贴和重度残疾人护理补贴制度实施细则（暂行）》第九条申请重度残疾人护理补贴需提交的材料：（四）村民（社区居民）委员会出具的《长期照护证明》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用于一级、二级残疾人申请残疾人“两项补贴”，证明其被长期照护</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县（市）区、开发区民政部门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69"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40</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军人婚姻登记证明</w:t>
            </w:r>
          </w:p>
        </w:tc>
        <w:tc>
          <w:tcPr>
            <w:tcW w:w="3642" w:type="dxa"/>
            <w:tcBorders>
              <w:tl2br w:val="nil"/>
              <w:tr2bl w:val="nil"/>
            </w:tcBorders>
            <w:tcMar>
              <w:left w:w="85" w:type="dxa"/>
              <w:right w:w="85" w:type="dxa"/>
            </w:tcMar>
            <w:vAlign w:val="center"/>
          </w:tcPr>
          <w:p>
            <w:pPr>
              <w:spacing w:line="28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民政部关于印发《婚姻登记工作规范》的通知(民发〔2015〕230号) 第三十条</w:t>
            </w:r>
            <w:r>
              <w:rPr>
                <w:rFonts w:ascii="宋体" w:hAnsi="宋体" w:cs="宋体"/>
                <w:color w:val="000000" w:themeColor="text1"/>
                <w:kern w:val="0"/>
                <w:sz w:val="18"/>
                <w:szCs w:val="18"/>
              </w:rPr>
              <w:t xml:space="preserve"> </w:t>
            </w:r>
            <w:r>
              <w:rPr>
                <w:rFonts w:hint="eastAsia" w:ascii="宋体" w:hAnsi="宋体" w:cs="宋体"/>
                <w:color w:val="000000" w:themeColor="text1"/>
                <w:kern w:val="0"/>
                <w:sz w:val="18"/>
                <w:szCs w:val="18"/>
              </w:rPr>
              <w:t>现役军人办理结婚登记应当提交本人的居民身份证、军人证件和部队出具的军人婚姻登记证明。</w:t>
            </w:r>
          </w:p>
          <w:p>
            <w:pPr>
              <w:spacing w:line="286"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居民身份证、军人证件和军人婚姻登记证明上的姓名、性别、出生日期、公民身份号码应当一致；不一致的，当事人应当先到有关部门更正</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用于现役军人办理结婚登记，证明部队同意其结婚登记</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当事人所在团政治处以上机关</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53"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41</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婚姻关系证明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民政部关于印发《婚姻登记工作规范》的通知(民发〔2015〕230号)第六十四条 受理补领结婚证、离婚证申请的条件是：……当事人结婚登记档案查找不到的，当事人应当提供充分证据证明婚姻关系，婚姻登记机关经过严格审查，确认当事人存在婚姻关系的，可以为其补领结婚证</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用于补领结婚证，证明当事人存在婚姻关系</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单位、村委会、居委会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宋体"/>
                <w:color w:val="000000" w:themeColor="text1"/>
                <w:kern w:val="0"/>
                <w:sz w:val="18"/>
                <w:szCs w:val="18"/>
              </w:rPr>
              <w:t>仅在当事人婚姻档案查找不到婚姻信息的情况下适用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36"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42</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收养人婚姻状况、有无子女、抚养教育能力证明</w:t>
            </w:r>
          </w:p>
        </w:tc>
        <w:tc>
          <w:tcPr>
            <w:tcW w:w="3642" w:type="dxa"/>
            <w:tcBorders>
              <w:tl2br w:val="nil"/>
              <w:tr2bl w:val="nil"/>
            </w:tcBorders>
            <w:tcMar>
              <w:left w:w="85" w:type="dxa"/>
              <w:right w:w="85" w:type="dxa"/>
            </w:tcMar>
            <w:vAlign w:val="center"/>
          </w:tcPr>
          <w:p>
            <w:pPr>
              <w:pStyle w:val="8"/>
              <w:shd w:val="clear" w:color="auto" w:fill="FFFFFF"/>
              <w:spacing w:before="0" w:beforeAutospacing="0" w:after="0" w:afterAutospacing="0"/>
              <w:jc w:val="both"/>
              <w:rPr>
                <w:color w:val="000000" w:themeColor="text1"/>
                <w:sz w:val="18"/>
                <w:szCs w:val="18"/>
              </w:rPr>
            </w:pPr>
            <w:r>
              <w:rPr>
                <w:rFonts w:hint="eastAsia"/>
                <w:color w:val="000000" w:themeColor="text1"/>
                <w:sz w:val="18"/>
                <w:szCs w:val="18"/>
              </w:rPr>
              <w:t>《中国公民收养子女登记办法》</w:t>
            </w:r>
            <w:r>
              <w:rPr>
                <w:color w:val="000000" w:themeColor="text1"/>
                <w:sz w:val="18"/>
                <w:szCs w:val="18"/>
              </w:rPr>
              <w:t>第五条</w:t>
            </w:r>
            <w:r>
              <w:rPr>
                <w:rFonts w:hint="eastAsia"/>
                <w:color w:val="000000" w:themeColor="text1"/>
                <w:sz w:val="18"/>
                <w:szCs w:val="18"/>
              </w:rPr>
              <w:t xml:space="preserve"> </w:t>
            </w:r>
            <w:r>
              <w:fldChar w:fldCharType="begin"/>
            </w:r>
            <w:r>
              <w:instrText xml:space="preserve"> HYPERLINK "https://baike.so.com/doc/8617626-8938613.html" \t "_blank" </w:instrText>
            </w:r>
            <w:r>
              <w:fldChar w:fldCharType="separate"/>
            </w:r>
            <w:r>
              <w:rPr>
                <w:color w:val="000000" w:themeColor="text1"/>
                <w:sz w:val="18"/>
                <w:szCs w:val="18"/>
              </w:rPr>
              <w:t>收养人</w:t>
            </w:r>
            <w:r>
              <w:rPr>
                <w:color w:val="000000" w:themeColor="text1"/>
                <w:sz w:val="18"/>
                <w:szCs w:val="18"/>
              </w:rPr>
              <w:fldChar w:fldCharType="end"/>
            </w:r>
            <w:r>
              <w:rPr>
                <w:color w:val="000000" w:themeColor="text1"/>
                <w:sz w:val="18"/>
                <w:szCs w:val="18"/>
              </w:rPr>
              <w:t>应当向收养登记机关提交收养申请书和下列证件、证明材料:(一)收养人的居民户口簿和</w:t>
            </w:r>
            <w:r>
              <w:fldChar w:fldCharType="begin"/>
            </w:r>
            <w:r>
              <w:instrText xml:space="preserve"> HYPERLINK "https://baike.so.com/doc/5420888-5659063.html" \t "_blank" </w:instrText>
            </w:r>
            <w:r>
              <w:fldChar w:fldCharType="separate"/>
            </w:r>
            <w:r>
              <w:rPr>
                <w:color w:val="000000" w:themeColor="text1"/>
                <w:sz w:val="18"/>
                <w:szCs w:val="18"/>
              </w:rPr>
              <w:t>居民身份证</w:t>
            </w:r>
            <w:r>
              <w:rPr>
                <w:color w:val="000000" w:themeColor="text1"/>
                <w:sz w:val="18"/>
                <w:szCs w:val="18"/>
              </w:rPr>
              <w:fldChar w:fldCharType="end"/>
            </w:r>
            <w:r>
              <w:rPr>
                <w:color w:val="000000" w:themeColor="text1"/>
                <w:sz w:val="18"/>
                <w:szCs w:val="18"/>
              </w:rPr>
              <w:t>;(二)由收养人所在单位或者村民委员会、居民委员会出具的本人婚姻状况、有无子女和抚养教育</w:t>
            </w:r>
            <w:r>
              <w:fldChar w:fldCharType="begin"/>
            </w:r>
            <w:r>
              <w:instrText xml:space="preserve"> HYPERLINK "https://baike.so.com/doc/8493458-8813711.html" \t "_blank" </w:instrText>
            </w:r>
            <w:r>
              <w:fldChar w:fldCharType="separate"/>
            </w:r>
            <w:r>
              <w:rPr>
                <w:color w:val="000000" w:themeColor="text1"/>
                <w:sz w:val="18"/>
                <w:szCs w:val="18"/>
              </w:rPr>
              <w:t>被收养人</w:t>
            </w:r>
            <w:r>
              <w:rPr>
                <w:color w:val="000000" w:themeColor="text1"/>
                <w:sz w:val="18"/>
                <w:szCs w:val="18"/>
              </w:rPr>
              <w:fldChar w:fldCharType="end"/>
            </w:r>
            <w:r>
              <w:rPr>
                <w:color w:val="000000" w:themeColor="text1"/>
                <w:sz w:val="18"/>
                <w:szCs w:val="18"/>
              </w:rPr>
              <w:t>的能力等情况的证明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用于办理收养手续，证明收养人婚姻状况、生育情况、抚养能力（是否）符合收养规定</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收养人所在单位、村委会、居委会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10"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43</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收养人生育情况证明</w:t>
            </w:r>
          </w:p>
        </w:tc>
        <w:tc>
          <w:tcPr>
            <w:tcW w:w="3642" w:type="dxa"/>
            <w:tcBorders>
              <w:tl2br w:val="nil"/>
              <w:tr2bl w:val="nil"/>
            </w:tcBorders>
            <w:tcMar>
              <w:left w:w="85" w:type="dxa"/>
              <w:right w:w="85" w:type="dxa"/>
            </w:tcMar>
            <w:vAlign w:val="center"/>
          </w:tcPr>
          <w:p>
            <w:pPr>
              <w:pStyle w:val="8"/>
              <w:shd w:val="clear" w:color="auto" w:fill="FFFFFF"/>
              <w:spacing w:before="0" w:beforeAutospacing="0" w:after="0" w:afterAutospacing="0"/>
              <w:jc w:val="both"/>
              <w:rPr>
                <w:color w:val="000000" w:themeColor="text1"/>
                <w:sz w:val="18"/>
                <w:szCs w:val="18"/>
              </w:rPr>
            </w:pPr>
            <w:r>
              <w:rPr>
                <w:rFonts w:hint="eastAsia"/>
                <w:color w:val="000000" w:themeColor="text1"/>
                <w:sz w:val="18"/>
                <w:szCs w:val="18"/>
              </w:rPr>
              <w:t>《中国公民收养子女登记办法》</w:t>
            </w:r>
            <w:r>
              <w:rPr>
                <w:color w:val="000000" w:themeColor="text1"/>
                <w:sz w:val="18"/>
                <w:szCs w:val="18"/>
              </w:rPr>
              <w:t>第五条</w:t>
            </w:r>
            <w:r>
              <w:rPr>
                <w:rFonts w:hint="eastAsia"/>
                <w:color w:val="000000" w:themeColor="text1"/>
                <w:sz w:val="18"/>
                <w:szCs w:val="18"/>
              </w:rPr>
              <w:t xml:space="preserve"> ……</w:t>
            </w:r>
            <w:r>
              <w:rPr>
                <w:color w:val="000000" w:themeColor="text1"/>
                <w:sz w:val="18"/>
                <w:szCs w:val="18"/>
              </w:rPr>
              <w:t>其中收养非社会福利机构抚养的查找不到生父母的弃婴、儿童的，收养人还应当提交下列证明材料:(一)</w:t>
            </w:r>
            <w:r>
              <w:fldChar w:fldCharType="begin"/>
            </w:r>
            <w:r>
              <w:instrText xml:space="preserve"> HYPERLINK "https://baike.so.com/doc/8617626-8938613.html" \t "_blank" </w:instrText>
            </w:r>
            <w:r>
              <w:fldChar w:fldCharType="separate"/>
            </w:r>
            <w:r>
              <w:rPr>
                <w:color w:val="000000" w:themeColor="text1"/>
                <w:sz w:val="18"/>
                <w:szCs w:val="18"/>
              </w:rPr>
              <w:t>收养人</w:t>
            </w:r>
            <w:r>
              <w:rPr>
                <w:color w:val="000000" w:themeColor="text1"/>
                <w:sz w:val="18"/>
                <w:szCs w:val="18"/>
              </w:rPr>
              <w:fldChar w:fldCharType="end"/>
            </w:r>
            <w:r>
              <w:rPr>
                <w:color w:val="000000" w:themeColor="text1"/>
                <w:sz w:val="18"/>
                <w:szCs w:val="18"/>
              </w:rPr>
              <w:t>经常居住地计划生育部门出具的收养人无子女的证明;(二)公安机关出具的捡拾弃婴、儿童报案的证明。收养继子女的，可以只提交居民户口簿、</w:t>
            </w:r>
            <w:r>
              <w:fldChar w:fldCharType="begin"/>
            </w:r>
            <w:r>
              <w:instrText xml:space="preserve"> HYPERLINK "https://baike.so.com/doc/5420888-5659063.html" \t "_blank" </w:instrText>
            </w:r>
            <w:r>
              <w:fldChar w:fldCharType="separate"/>
            </w:r>
            <w:r>
              <w:rPr>
                <w:color w:val="000000" w:themeColor="text1"/>
                <w:sz w:val="18"/>
                <w:szCs w:val="18"/>
              </w:rPr>
              <w:t>居民身份证</w:t>
            </w:r>
            <w:r>
              <w:rPr>
                <w:color w:val="000000" w:themeColor="text1"/>
                <w:sz w:val="18"/>
                <w:szCs w:val="18"/>
              </w:rPr>
              <w:fldChar w:fldCharType="end"/>
            </w:r>
            <w:r>
              <w:rPr>
                <w:color w:val="000000" w:themeColor="text1"/>
                <w:sz w:val="18"/>
                <w:szCs w:val="18"/>
              </w:rPr>
              <w:t>和收养人与</w:t>
            </w:r>
            <w:r>
              <w:fldChar w:fldCharType="begin"/>
            </w:r>
            <w:r>
              <w:instrText xml:space="preserve"> HYPERLINK "https://baike.so.com/doc/8493458-8813711.html" \t "_blank" </w:instrText>
            </w:r>
            <w:r>
              <w:fldChar w:fldCharType="separate"/>
            </w:r>
            <w:r>
              <w:rPr>
                <w:color w:val="000000" w:themeColor="text1"/>
                <w:sz w:val="18"/>
                <w:szCs w:val="18"/>
              </w:rPr>
              <w:t>被收养人</w:t>
            </w:r>
            <w:r>
              <w:rPr>
                <w:color w:val="000000" w:themeColor="text1"/>
                <w:sz w:val="18"/>
                <w:szCs w:val="18"/>
              </w:rPr>
              <w:fldChar w:fldCharType="end"/>
            </w:r>
            <w:r>
              <w:rPr>
                <w:color w:val="000000" w:themeColor="text1"/>
                <w:sz w:val="18"/>
                <w:szCs w:val="18"/>
              </w:rPr>
              <w:t>生父或者生母结婚的证明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用于办理收养人收养查找不到生父母的弃婴、儿童的相关手续，证明收养人生育情况（是否）符合收养规定</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收养人经常居住地计划生育部门</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37"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44</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收养人无子女</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color w:val="000000" w:themeColor="text1"/>
                <w:sz w:val="18"/>
                <w:szCs w:val="18"/>
              </w:rPr>
              <w:t>《中国公民收养子女登记办法》</w:t>
            </w:r>
            <w:r>
              <w:rPr>
                <w:color w:val="000000" w:themeColor="text1"/>
                <w:sz w:val="18"/>
                <w:szCs w:val="18"/>
              </w:rPr>
              <w:t>第五条</w:t>
            </w:r>
            <w:r>
              <w:rPr>
                <w:rFonts w:hint="eastAsia"/>
                <w:color w:val="000000" w:themeColor="text1"/>
                <w:sz w:val="18"/>
                <w:szCs w:val="18"/>
              </w:rPr>
              <w:t xml:space="preserve"> ……</w:t>
            </w:r>
            <w:r>
              <w:rPr>
                <w:rFonts w:ascii="宋体" w:hAnsi="宋体" w:cs="宋体"/>
                <w:color w:val="000000" w:themeColor="text1"/>
                <w:sz w:val="18"/>
                <w:szCs w:val="18"/>
              </w:rPr>
              <w:t>其中收养非社会福利机构抚养的查找不到生父母的弃婴、儿童的，收养人还应当提交下列证明材料:(一)</w:t>
            </w:r>
            <w:r>
              <w:fldChar w:fldCharType="begin"/>
            </w:r>
            <w:r>
              <w:instrText xml:space="preserve"> HYPERLINK "https://baike.so.com/doc/8617626-8938613.html" \t "_blank" </w:instrText>
            </w:r>
            <w:r>
              <w:fldChar w:fldCharType="separate"/>
            </w:r>
            <w:r>
              <w:rPr>
                <w:rFonts w:ascii="宋体" w:hAnsi="宋体" w:cs="宋体"/>
                <w:color w:val="000000" w:themeColor="text1"/>
                <w:sz w:val="18"/>
                <w:szCs w:val="18"/>
              </w:rPr>
              <w:t>收养人</w:t>
            </w:r>
            <w:r>
              <w:rPr>
                <w:rFonts w:ascii="宋体" w:hAnsi="宋体" w:cs="宋体"/>
                <w:color w:val="000000" w:themeColor="text1"/>
                <w:sz w:val="18"/>
                <w:szCs w:val="18"/>
              </w:rPr>
              <w:fldChar w:fldCharType="end"/>
            </w:r>
            <w:r>
              <w:rPr>
                <w:rFonts w:ascii="宋体" w:hAnsi="宋体" w:cs="宋体"/>
                <w:color w:val="000000" w:themeColor="text1"/>
                <w:sz w:val="18"/>
                <w:szCs w:val="18"/>
              </w:rPr>
              <w:t>经常居住地计划生育部门出具的收养人无子女的证明;(二)公安机关出具的捡拾弃婴、儿童报案的证明。收养继子女的，可以只提交居民户口簿、</w:t>
            </w:r>
            <w:r>
              <w:fldChar w:fldCharType="begin"/>
            </w:r>
            <w:r>
              <w:instrText xml:space="preserve"> HYPERLINK "https://baike.so.com/doc/5420888-5659063.html" \t "_blank" </w:instrText>
            </w:r>
            <w:r>
              <w:fldChar w:fldCharType="separate"/>
            </w:r>
            <w:r>
              <w:rPr>
                <w:rFonts w:ascii="宋体" w:hAnsi="宋体" w:cs="宋体"/>
                <w:color w:val="000000" w:themeColor="text1"/>
                <w:sz w:val="18"/>
                <w:szCs w:val="18"/>
              </w:rPr>
              <w:t>居民身份证</w:t>
            </w:r>
            <w:r>
              <w:rPr>
                <w:rFonts w:ascii="宋体" w:hAnsi="宋体" w:cs="宋体"/>
                <w:color w:val="000000" w:themeColor="text1"/>
                <w:sz w:val="18"/>
                <w:szCs w:val="18"/>
              </w:rPr>
              <w:fldChar w:fldCharType="end"/>
            </w:r>
            <w:r>
              <w:rPr>
                <w:rFonts w:ascii="宋体" w:hAnsi="宋体" w:cs="宋体"/>
                <w:color w:val="000000" w:themeColor="text1"/>
                <w:sz w:val="18"/>
                <w:szCs w:val="18"/>
              </w:rPr>
              <w:t>和收养人与</w:t>
            </w:r>
            <w:r>
              <w:fldChar w:fldCharType="begin"/>
            </w:r>
            <w:r>
              <w:instrText xml:space="preserve"> HYPERLINK "https://baike.so.com/doc/8493458-8813711.html" \t "_blank" </w:instrText>
            </w:r>
            <w:r>
              <w:fldChar w:fldCharType="separate"/>
            </w:r>
            <w:r>
              <w:rPr>
                <w:rFonts w:ascii="宋体" w:hAnsi="宋体" w:cs="宋体"/>
                <w:color w:val="000000" w:themeColor="text1"/>
                <w:sz w:val="18"/>
                <w:szCs w:val="18"/>
              </w:rPr>
              <w:t>被收养人</w:t>
            </w:r>
            <w:r>
              <w:rPr>
                <w:rFonts w:ascii="宋体" w:hAnsi="宋体" w:cs="宋体"/>
                <w:color w:val="000000" w:themeColor="text1"/>
                <w:sz w:val="18"/>
                <w:szCs w:val="18"/>
              </w:rPr>
              <w:fldChar w:fldCharType="end"/>
            </w:r>
            <w:r>
              <w:rPr>
                <w:rFonts w:ascii="宋体" w:hAnsi="宋体" w:cs="宋体"/>
                <w:color w:val="000000" w:themeColor="text1"/>
                <w:sz w:val="18"/>
                <w:szCs w:val="18"/>
              </w:rPr>
              <w:t>生父或者生母结婚的证明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用于办理收养人收养非福利机构抚养的查找不到生父母的弃婴、儿童的相关手续，证明收养人无子女</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收养人经常居住地计划生育部门、</w:t>
            </w:r>
            <w:r>
              <w:rPr>
                <w:color w:val="000000" w:themeColor="text1"/>
                <w:sz w:val="18"/>
                <w:szCs w:val="18"/>
              </w:rPr>
              <w:t>收养人所在单位或者村民委员会、居民委员会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496"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45</w:t>
            </w:r>
          </w:p>
        </w:tc>
        <w:tc>
          <w:tcPr>
            <w:tcW w:w="1613"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捡拾弃婴、儿童报案的证明（弃婴证明）</w:t>
            </w:r>
          </w:p>
        </w:tc>
        <w:tc>
          <w:tcPr>
            <w:tcW w:w="3642" w:type="dxa"/>
            <w:vMerge w:val="restart"/>
            <w:tcBorders>
              <w:tl2br w:val="nil"/>
              <w:tr2bl w:val="nil"/>
            </w:tcBorders>
            <w:tcMar>
              <w:left w:w="85" w:type="dxa"/>
              <w:right w:w="85" w:type="dxa"/>
            </w:tcMar>
            <w:vAlign w:val="center"/>
          </w:tcPr>
          <w:p>
            <w:pPr>
              <w:pStyle w:val="8"/>
              <w:shd w:val="clear" w:color="auto" w:fill="FFFFFF"/>
              <w:spacing w:before="0" w:beforeAutospacing="0" w:after="0" w:afterAutospacing="0"/>
              <w:jc w:val="both"/>
              <w:rPr>
                <w:color w:val="000000" w:themeColor="text1"/>
                <w:sz w:val="18"/>
                <w:szCs w:val="18"/>
              </w:rPr>
            </w:pPr>
            <w:r>
              <w:rPr>
                <w:rFonts w:hint="eastAsia"/>
                <w:color w:val="000000" w:themeColor="text1"/>
                <w:sz w:val="18"/>
                <w:szCs w:val="18"/>
              </w:rPr>
              <w:t>1.《中国公民收养子女登记办法》</w:t>
            </w:r>
            <w:r>
              <w:rPr>
                <w:color w:val="000000" w:themeColor="text1"/>
                <w:sz w:val="18"/>
                <w:szCs w:val="18"/>
              </w:rPr>
              <w:t>第五条</w:t>
            </w:r>
            <w:r>
              <w:rPr>
                <w:rFonts w:hint="eastAsia"/>
                <w:color w:val="000000" w:themeColor="text1"/>
                <w:sz w:val="18"/>
                <w:szCs w:val="18"/>
              </w:rPr>
              <w:t xml:space="preserve"> ……</w:t>
            </w:r>
            <w:r>
              <w:rPr>
                <w:color w:val="000000" w:themeColor="text1"/>
                <w:sz w:val="18"/>
                <w:szCs w:val="18"/>
              </w:rPr>
              <w:t>其中收养非社会福利机构抚养的查找不到生父母的弃婴、儿童的，收养人还应当提交下列证明材料:(一)</w:t>
            </w:r>
            <w:r>
              <w:fldChar w:fldCharType="begin"/>
            </w:r>
            <w:r>
              <w:instrText xml:space="preserve"> HYPERLINK "https://baike.so.com/doc/8617626-8938613.html" \t "_blank" </w:instrText>
            </w:r>
            <w:r>
              <w:fldChar w:fldCharType="separate"/>
            </w:r>
            <w:r>
              <w:rPr>
                <w:color w:val="000000" w:themeColor="text1"/>
                <w:sz w:val="18"/>
                <w:szCs w:val="18"/>
              </w:rPr>
              <w:t>收养人</w:t>
            </w:r>
            <w:r>
              <w:rPr>
                <w:color w:val="000000" w:themeColor="text1"/>
                <w:sz w:val="18"/>
                <w:szCs w:val="18"/>
              </w:rPr>
              <w:fldChar w:fldCharType="end"/>
            </w:r>
            <w:r>
              <w:rPr>
                <w:color w:val="000000" w:themeColor="text1"/>
                <w:sz w:val="18"/>
                <w:szCs w:val="18"/>
              </w:rPr>
              <w:t>经常居住地计划生育部门出具的收养人无子女的证明;(二)公安机关出具的捡拾弃婴、儿童报案的证明。收养继子女的，可以只提交居民户口簿、</w:t>
            </w:r>
            <w:r>
              <w:fldChar w:fldCharType="begin"/>
            </w:r>
            <w:r>
              <w:instrText xml:space="preserve"> HYPERLINK "https://baike.so.com/doc/5420888-5659063.html" \t "_blank" </w:instrText>
            </w:r>
            <w:r>
              <w:fldChar w:fldCharType="separate"/>
            </w:r>
            <w:r>
              <w:rPr>
                <w:color w:val="000000" w:themeColor="text1"/>
                <w:sz w:val="18"/>
                <w:szCs w:val="18"/>
              </w:rPr>
              <w:t>居民身份证</w:t>
            </w:r>
            <w:r>
              <w:rPr>
                <w:color w:val="000000" w:themeColor="text1"/>
                <w:sz w:val="18"/>
                <w:szCs w:val="18"/>
              </w:rPr>
              <w:fldChar w:fldCharType="end"/>
            </w:r>
            <w:r>
              <w:rPr>
                <w:color w:val="000000" w:themeColor="text1"/>
                <w:sz w:val="18"/>
                <w:szCs w:val="18"/>
              </w:rPr>
              <w:t>和收养人与</w:t>
            </w:r>
            <w:r>
              <w:fldChar w:fldCharType="begin"/>
            </w:r>
            <w:r>
              <w:instrText xml:space="preserve"> HYPERLINK "https://baike.so.com/doc/8493458-8813711.html" \t "_blank" </w:instrText>
            </w:r>
            <w:r>
              <w:fldChar w:fldCharType="separate"/>
            </w:r>
            <w:r>
              <w:rPr>
                <w:color w:val="000000" w:themeColor="text1"/>
                <w:sz w:val="18"/>
                <w:szCs w:val="18"/>
              </w:rPr>
              <w:t>被收养人</w:t>
            </w:r>
            <w:r>
              <w:rPr>
                <w:color w:val="000000" w:themeColor="text1"/>
                <w:sz w:val="18"/>
                <w:szCs w:val="18"/>
              </w:rPr>
              <w:fldChar w:fldCharType="end"/>
            </w:r>
            <w:r>
              <w:rPr>
                <w:color w:val="000000" w:themeColor="text1"/>
                <w:sz w:val="18"/>
                <w:szCs w:val="18"/>
              </w:rPr>
              <w:t>生父或者生母结婚的证明</w:t>
            </w:r>
          </w:p>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2.《2011年关于发放孤儿基本生活费的通知》 一、孤儿基本生活费发放范围：弃婴由公安部门出具证明，父母失踪由人民法院出具证明材料</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用于办理收养人收养非福利机构抚养的查找不到生父母的弃婴、儿童的相关手续，证明收养的弃婴、儿童查找不到父母</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公安机关</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76"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pStyle w:val="8"/>
              <w:shd w:val="clear" w:color="auto" w:fill="FFFFFF"/>
              <w:spacing w:before="0" w:beforeAutospacing="0" w:after="0" w:afterAutospacing="0"/>
              <w:jc w:val="both"/>
              <w:rPr>
                <w:color w:val="000000" w:themeColor="text1"/>
                <w:sz w:val="18"/>
                <w:szCs w:val="18"/>
              </w:rPr>
            </w:pP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用于发放孤儿基本生活费，证明孤儿为弃婴</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公安机关</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15" w:hRule="atLeast"/>
          <w:jc w:val="center"/>
        </w:trPr>
        <w:tc>
          <w:tcPr>
            <w:tcW w:w="496"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46</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被收养人生父母无完全民事行为能力并对收养人有严重危害的</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《中国公民收养子女登记办法》第六条 监护人为送养人的，并应当提交实际承担监护责任的证明，孤儿的父母死亡或者宣告死亡的证明，或者被收养人生父母无完全民事行为能力并对被收养人有严重危害的证明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推定依据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用于监护人为送养人办理送养手续，证明收养人生父母无完全民事行为能力并对收养人有严重危害</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公安机关或所在地村委会、居委会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04"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4</w:t>
            </w:r>
            <w:r>
              <w:rPr>
                <w:rFonts w:hint="eastAsia" w:ascii="宋体" w:hAnsi="宋体" w:cs="宋体"/>
                <w:color w:val="000000" w:themeColor="text1"/>
                <w:kern w:val="0"/>
                <w:sz w:val="18"/>
                <w:szCs w:val="18"/>
                <w:lang w:val="en-US" w:eastAsia="zh-CN"/>
              </w:rPr>
              <w:t>7</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独生子女</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死亡证明</w:t>
            </w:r>
          </w:p>
        </w:tc>
        <w:tc>
          <w:tcPr>
            <w:tcW w:w="3642" w:type="dxa"/>
            <w:tcBorders>
              <w:tl2br w:val="nil"/>
              <w:tr2bl w:val="nil"/>
            </w:tcBorders>
            <w:tcMar>
              <w:left w:w="85" w:type="dxa"/>
              <w:right w:w="85" w:type="dxa"/>
            </w:tcMar>
            <w:vAlign w:val="center"/>
          </w:tcPr>
          <w:p>
            <w:pPr>
              <w:rPr>
                <w:rFonts w:hint="eastAsia" w:ascii="宋体" w:hAnsi="宋体" w:cs="Calibri"/>
                <w:color w:val="000000" w:themeColor="text1"/>
                <w:kern w:val="0"/>
                <w:sz w:val="18"/>
                <w:szCs w:val="18"/>
                <w:lang w:val="ru-RU"/>
              </w:rPr>
            </w:pPr>
            <w:r>
              <w:rPr>
                <w:rFonts w:hint="eastAsia" w:ascii="宋体" w:hAnsi="宋体" w:cs="Calibri"/>
                <w:color w:val="000000" w:themeColor="text1"/>
                <w:kern w:val="0"/>
                <w:sz w:val="18"/>
                <w:szCs w:val="18"/>
                <w:lang w:val="ru-RU"/>
              </w:rPr>
              <w:t>关于印发吉林省计划生育家庭特别扶助对象确认条件细则的通知（吉人口字〔2008〕53号）第七项需要提供的证明材料第26条</w:t>
            </w:r>
            <w:r>
              <w:rPr>
                <w:rFonts w:hint="eastAsia" w:ascii="宋体" w:hAnsi="宋体" w:cs="Calibri"/>
                <w:color w:val="000000" w:themeColor="text1"/>
                <w:kern w:val="0"/>
                <w:sz w:val="18"/>
                <w:szCs w:val="18"/>
              </w:rPr>
              <w:t xml:space="preserve"> </w:t>
            </w:r>
            <w:r>
              <w:rPr>
                <w:rFonts w:hint="eastAsia" w:ascii="宋体" w:hAnsi="宋体" w:cs="Calibri"/>
                <w:color w:val="000000" w:themeColor="text1"/>
                <w:kern w:val="0"/>
                <w:sz w:val="18"/>
                <w:szCs w:val="18"/>
                <w:lang w:val="ru-RU"/>
              </w:rPr>
              <w:t>现无子女的，需提供公安部门、人民法院、乡级以上医疗机构或户口所在地村（居）委会出具的有关独生子女死亡或被宣告死亡的证明材料</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用于计划生育家庭特别扶助，证明独生子女死亡或被宣告死亡</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Calibri"/>
                <w:color w:val="000000" w:themeColor="text1"/>
                <w:kern w:val="0"/>
                <w:sz w:val="18"/>
                <w:szCs w:val="18"/>
                <w:lang w:val="ru-RU"/>
              </w:rPr>
              <w:t>户口所在地村（居）委会</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宋体"/>
                <w:color w:val="000000" w:themeColor="text1"/>
                <w:kern w:val="0"/>
                <w:sz w:val="18"/>
                <w:szCs w:val="18"/>
              </w:rPr>
              <w:t>卫生计生部门</w:t>
            </w:r>
          </w:p>
        </w:tc>
        <w:tc>
          <w:tcPr>
            <w:tcW w:w="1527" w:type="dxa"/>
            <w:tcBorders>
              <w:tl2br w:val="nil"/>
              <w:tr2bl w:val="nil"/>
            </w:tcBorders>
            <w:tcMar>
              <w:left w:w="85" w:type="dxa"/>
              <w:right w:w="85" w:type="dxa"/>
            </w:tcMar>
            <w:vAlign w:val="center"/>
          </w:tcPr>
          <w:p>
            <w:pPr>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仅在无法取得医疗机构医学死亡证明书、公安机关非正常死亡证明、人民法院宣告死亡判决书的情况下适用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01"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4</w:t>
            </w:r>
            <w:r>
              <w:rPr>
                <w:rFonts w:hint="eastAsia" w:ascii="宋体" w:hAnsi="宋体" w:cs="宋体"/>
                <w:color w:val="000000" w:themeColor="text1"/>
                <w:kern w:val="0"/>
                <w:sz w:val="18"/>
                <w:szCs w:val="18"/>
                <w:lang w:val="en-US" w:eastAsia="zh-CN"/>
              </w:rPr>
              <w:t>8</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父母服刑证明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《2011年关于发放孤儿基本生活费的通知》一、孤儿基本生活费发放范围：父母一方死亡，另一方被判死缓或者无期徒刑，造成生活无保障的未成年人也纳入发放范围，由法院或监狱管理部门出具其父母服刑证明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lang w:val="ru-RU"/>
              </w:rPr>
            </w:pPr>
            <w:r>
              <w:rPr>
                <w:rFonts w:hint="eastAsia" w:ascii="宋体" w:hAnsi="宋体" w:cs="宋体"/>
                <w:color w:val="000000" w:themeColor="text1"/>
                <w:kern w:val="0"/>
                <w:sz w:val="18"/>
                <w:szCs w:val="18"/>
              </w:rPr>
              <w:t>用于发放孤儿基本生活费，证明孤儿父母服刑</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lang w:val="ru-RU"/>
              </w:rPr>
            </w:pPr>
            <w:r>
              <w:rPr>
                <w:rFonts w:hint="eastAsia" w:ascii="宋体" w:hAnsi="宋体" w:cs="宋体"/>
                <w:color w:val="000000" w:themeColor="text1"/>
                <w:kern w:val="0"/>
                <w:sz w:val="18"/>
                <w:szCs w:val="18"/>
              </w:rPr>
              <w:t>人民法院、监狱管理部门</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36" w:hRule="atLeast"/>
          <w:jc w:val="center"/>
        </w:trPr>
        <w:tc>
          <w:tcPr>
            <w:tcW w:w="496" w:type="dxa"/>
            <w:vMerge w:val="restart"/>
            <w:tcBorders>
              <w:tl2br w:val="nil"/>
              <w:tr2bl w:val="nil"/>
            </w:tcBorders>
            <w:tcMar>
              <w:left w:w="85" w:type="dxa"/>
              <w:right w:w="85" w:type="dxa"/>
            </w:tcMar>
            <w:vAlign w:val="center"/>
          </w:tcPr>
          <w:p>
            <w:pPr>
              <w:widowControl/>
              <w:jc w:val="center"/>
              <w:rPr>
                <w:rFonts w:hint="default"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lang w:val="en-US" w:eastAsia="zh-CN"/>
              </w:rPr>
              <w:t>49</w:t>
            </w:r>
          </w:p>
        </w:tc>
        <w:tc>
          <w:tcPr>
            <w:tcW w:w="1613" w:type="dxa"/>
            <w:vMerge w:val="restart"/>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在校（读、籍）</w:t>
            </w:r>
          </w:p>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证明</w:t>
            </w:r>
          </w:p>
        </w:tc>
        <w:tc>
          <w:tcPr>
            <w:tcW w:w="3642" w:type="dxa"/>
            <w:vMerge w:val="restart"/>
            <w:tcBorders>
              <w:tl2br w:val="nil"/>
              <w:tr2bl w:val="nil"/>
            </w:tcBorders>
            <w:tcMar>
              <w:left w:w="85" w:type="dxa"/>
              <w:right w:w="85" w:type="dxa"/>
            </w:tcMar>
            <w:vAlign w:val="center"/>
          </w:tcPr>
          <w:p>
            <w:pPr>
              <w:widowControl/>
              <w:spacing w:line="290" w:lineRule="exact"/>
              <w:rPr>
                <w:rFonts w:ascii="宋体" w:hAnsi="宋体" w:cs="宋体"/>
                <w:color w:val="000000" w:themeColor="text1"/>
                <w:kern w:val="0"/>
                <w:sz w:val="18"/>
                <w:szCs w:val="18"/>
              </w:rPr>
            </w:pPr>
            <w:r>
              <w:rPr>
                <w:rFonts w:hint="eastAsia" w:ascii="宋体" w:hAnsi="宋体" w:cs="宋体"/>
                <w:color w:val="000000" w:themeColor="text1"/>
                <w:kern w:val="0"/>
                <w:sz w:val="18"/>
                <w:szCs w:val="18"/>
              </w:rPr>
              <w:t>1.《吉林省民政厅、吉林省财政厅关于发放孤儿基本生活费的通知》（吉民发﹝2011﹞71号） 对年满18岁,但没有生活保障的在校高中(含职业高中)或大专的孤儿继续享受基本生活费,由当地教育行政部门或所在院校出具证明</w:t>
            </w:r>
          </w:p>
          <w:p>
            <w:pPr>
              <w:widowControl/>
              <w:spacing w:line="290" w:lineRule="exact"/>
              <w:rPr>
                <w:lang w:val="en-US" w:eastAsia="zh-CN"/>
              </w:rPr>
            </w:pPr>
            <w:r>
              <w:rPr>
                <w:rFonts w:hint="eastAsia" w:ascii="宋体" w:hAnsi="宋体" w:cs="仿宋"/>
                <w:color w:val="000000" w:themeColor="text1"/>
                <w:kern w:val="0"/>
                <w:sz w:val="18"/>
                <w:szCs w:val="18"/>
                <w:lang w:val="ru-RU"/>
              </w:rPr>
              <w:t>2.关于做好2017年4月高等教育自学考试报名工作的通知（吉教考字5号）第四条第2款</w:t>
            </w:r>
            <w:r>
              <w:rPr>
                <w:rFonts w:hint="eastAsia" w:ascii="宋体" w:hAnsi="宋体" w:cs="仿宋"/>
                <w:color w:val="000000" w:themeColor="text1"/>
                <w:kern w:val="0"/>
                <w:sz w:val="18"/>
                <w:szCs w:val="18"/>
              </w:rPr>
              <w:t xml:space="preserve"> </w:t>
            </w:r>
            <w:r>
              <w:rPr>
                <w:rFonts w:hint="eastAsia" w:ascii="宋体" w:hAnsi="宋体" w:cs="仿宋"/>
                <w:color w:val="000000" w:themeColor="text1"/>
                <w:kern w:val="0"/>
                <w:sz w:val="18"/>
                <w:szCs w:val="18"/>
                <w:lang w:val="ru-RU"/>
              </w:rPr>
              <w:t>（2）普通高等或中等学校在籍学生须持所在学校学生证和由学校出具的在籍证明报名考试</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用于年满18岁但没有生活保障的在校学生享受基本生活费，证明其在校</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当地教育行政部门、学生所在院校</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县（市）区、开发区民政部门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05"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FF0000"/>
                <w:kern w:val="0"/>
                <w:sz w:val="18"/>
                <w:szCs w:val="18"/>
              </w:rPr>
            </w:pPr>
          </w:p>
        </w:tc>
        <w:tc>
          <w:tcPr>
            <w:tcW w:w="1613" w:type="dxa"/>
            <w:vMerge w:val="continue"/>
            <w:tcBorders>
              <w:tl2br w:val="nil"/>
              <w:tr2bl w:val="nil"/>
            </w:tcBorders>
            <w:tcMar>
              <w:left w:w="85" w:type="dxa"/>
              <w:right w:w="85" w:type="dxa"/>
            </w:tcMar>
            <w:vAlign w:val="center"/>
          </w:tcPr>
          <w:p>
            <w:pPr>
              <w:widowControl/>
              <w:jc w:val="center"/>
              <w:rPr>
                <w:rFonts w:ascii="宋体" w:hAnsi="宋体" w:cs="宋体"/>
                <w:color w:val="FF0000"/>
                <w:kern w:val="0"/>
                <w:sz w:val="18"/>
                <w:szCs w:val="18"/>
              </w:rPr>
            </w:pPr>
          </w:p>
        </w:tc>
        <w:tc>
          <w:tcPr>
            <w:tcW w:w="3642" w:type="dxa"/>
            <w:vMerge w:val="continue"/>
            <w:tcBorders>
              <w:tl2br w:val="nil"/>
              <w:tr2bl w:val="nil"/>
            </w:tcBorders>
            <w:tcMar>
              <w:left w:w="85" w:type="dxa"/>
              <w:right w:w="85" w:type="dxa"/>
            </w:tcMar>
            <w:vAlign w:val="center"/>
          </w:tcPr>
          <w:p>
            <w:pPr>
              <w:widowControl/>
              <w:rPr>
                <w:rFonts w:ascii="宋体" w:hAnsi="宋体" w:cs="宋体"/>
                <w:color w:val="FF0000"/>
                <w:kern w:val="0"/>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lang w:val="ru-RU"/>
              </w:rPr>
            </w:pPr>
            <w:r>
              <w:rPr>
                <w:rFonts w:hint="eastAsia" w:ascii="宋体" w:hAnsi="宋体" w:cs="宋体"/>
                <w:color w:val="000000" w:themeColor="text1"/>
                <w:kern w:val="0"/>
                <w:sz w:val="18"/>
                <w:szCs w:val="18"/>
                <w:lang w:val="ru-RU"/>
              </w:rPr>
              <w:t>用于</w:t>
            </w:r>
            <w:r>
              <w:rPr>
                <w:rFonts w:hint="eastAsia" w:ascii="宋体" w:hAnsi="宋体" w:cs="仿宋"/>
                <w:color w:val="000000" w:themeColor="text1"/>
                <w:kern w:val="0"/>
                <w:sz w:val="18"/>
                <w:szCs w:val="18"/>
                <w:lang w:val="ru-RU"/>
              </w:rPr>
              <w:t>高等教育自学考试报名，证明报考人在</w:t>
            </w:r>
            <w:r>
              <w:rPr>
                <w:rFonts w:hint="eastAsia" w:ascii="宋体" w:hAnsi="宋体" w:cs="宋体"/>
                <w:color w:val="000000" w:themeColor="text1"/>
                <w:kern w:val="0"/>
                <w:sz w:val="18"/>
                <w:szCs w:val="18"/>
              </w:rPr>
              <w:t>校（读、籍）</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lang w:val="ru-RU"/>
              </w:rPr>
            </w:pPr>
            <w:r>
              <w:rPr>
                <w:rFonts w:hint="eastAsia" w:ascii="宋体" w:hAnsi="宋体" w:cs="宋体"/>
                <w:color w:val="000000" w:themeColor="text1"/>
                <w:kern w:val="0"/>
                <w:sz w:val="18"/>
                <w:szCs w:val="18"/>
                <w:lang w:val="ru-RU"/>
              </w:rPr>
              <w:t>学生所在学校</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教育部门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92"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0</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特殊困难证明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《中国公民收养子女登记办法》第六条 生父母为送养人的，并应当提交与当地计划生育部门签订的不违反计划生育规定的协议;有特殊困难无力抚养子女的，还应当提交其所在单位或者村民委员会、居民委员会出具的送养人有特殊困难的证明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用于生父母为送养人有特殊困难办理送养手续，证明其有特殊困难</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所在单位、</w:t>
            </w:r>
            <w:r>
              <w:rPr>
                <w:rFonts w:hint="eastAsia" w:ascii="宋体" w:hAnsi="宋体"/>
                <w:color w:val="000000" w:themeColor="text1"/>
                <w:sz w:val="18"/>
                <w:szCs w:val="18"/>
                <w:lang w:val="ru-RU"/>
              </w:rPr>
              <w:t>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民政部门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59"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1</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思想品德鉴定</w:t>
            </w:r>
          </w:p>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（盖章）</w:t>
            </w:r>
          </w:p>
        </w:tc>
        <w:tc>
          <w:tcPr>
            <w:tcW w:w="3642" w:type="dxa"/>
            <w:tcBorders>
              <w:tl2br w:val="nil"/>
              <w:tr2bl w:val="nil"/>
            </w:tcBorders>
            <w:tcMar>
              <w:left w:w="85" w:type="dxa"/>
              <w:right w:w="85" w:type="dxa"/>
            </w:tcMar>
            <w:vAlign w:val="center"/>
          </w:tcPr>
          <w:p>
            <w:pPr>
              <w:spacing w:line="284" w:lineRule="exact"/>
              <w:rPr>
                <w:rFonts w:ascii="宋体" w:hAnsi="宋体"/>
                <w:color w:val="000000" w:themeColor="text1"/>
                <w:sz w:val="18"/>
                <w:szCs w:val="18"/>
              </w:rPr>
            </w:pPr>
            <w:r>
              <w:rPr>
                <w:rFonts w:hint="eastAsia" w:ascii="宋体" w:hAnsi="宋体"/>
                <w:color w:val="000000" w:themeColor="text1"/>
                <w:sz w:val="18"/>
                <w:szCs w:val="18"/>
              </w:rPr>
              <w:t>《教师资格条例》（1995年12月12日，国务院）</w:t>
            </w:r>
            <w:r>
              <w:rPr>
                <w:rFonts w:ascii="宋体" w:hAnsi="宋体"/>
                <w:color w:val="000000" w:themeColor="text1"/>
                <w:sz w:val="18"/>
                <w:szCs w:val="18"/>
              </w:rPr>
              <w:t>第十五条 申请认定教师资格，应当提交教师资格认定申请表和下列证明或者材料：</w:t>
            </w:r>
            <w:r>
              <w:rPr>
                <w:rFonts w:hint="eastAsia" w:ascii="宋体" w:hAnsi="宋体"/>
                <w:color w:val="000000" w:themeColor="text1"/>
                <w:sz w:val="18"/>
                <w:szCs w:val="18"/>
              </w:rPr>
              <w:t>……</w:t>
            </w:r>
            <w:r>
              <w:rPr>
                <w:rFonts w:ascii="宋体" w:hAnsi="宋体"/>
                <w:color w:val="000000" w:themeColor="text1"/>
                <w:sz w:val="18"/>
                <w:szCs w:val="18"/>
              </w:rPr>
              <w:t>(四)户籍所在地的街道办事处、乡人民政府或者工作单位、所毕业的学校对其思想品德、有无犯罪记录等方面情况的鉴定及证明材料</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用于办理教师资格认定，证明其遵守宪法和法律，热爱教育事业，履行《教师法》规定的义务，遵守教师职业道德，无犯罪记录</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户籍所在地的街道办事处、乡镇政府、工作单位、所毕业学校、公安派出所</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s="Arial"/>
                <w:color w:val="000000" w:themeColor="text1"/>
                <w:kern w:val="0"/>
                <w:sz w:val="18"/>
                <w:szCs w:val="18"/>
              </w:rPr>
              <w:t>教育部门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61"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2</w:t>
            </w:r>
          </w:p>
        </w:tc>
        <w:tc>
          <w:tcPr>
            <w:tcW w:w="1613" w:type="dxa"/>
            <w:tcBorders>
              <w:tl2br w:val="nil"/>
              <w:tr2bl w:val="nil"/>
            </w:tcBorders>
            <w:tcMar>
              <w:left w:w="85" w:type="dxa"/>
              <w:right w:w="85" w:type="dxa"/>
            </w:tcMar>
            <w:vAlign w:val="center"/>
          </w:tcPr>
          <w:p>
            <w:pPr>
              <w:widowControl/>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可于下一年度9月1日前取得本科毕业证书的证明</w:t>
            </w:r>
          </w:p>
        </w:tc>
        <w:tc>
          <w:tcPr>
            <w:tcW w:w="3642" w:type="dxa"/>
            <w:tcBorders>
              <w:tl2br w:val="nil"/>
              <w:tr2bl w:val="nil"/>
            </w:tcBorders>
            <w:tcMar>
              <w:left w:w="85" w:type="dxa"/>
              <w:right w:w="85" w:type="dxa"/>
            </w:tcMar>
            <w:vAlign w:val="center"/>
          </w:tcPr>
          <w:p>
            <w:pPr>
              <w:widowControl/>
              <w:spacing w:line="284" w:lineRule="exact"/>
              <w:jc w:val="left"/>
              <w:outlineLvl w:val="1"/>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吉林省教育考试院《关于做好吉林省2018年全国硕士研究生招生考试报名工作的通知》（吉教考字〔2017〕89号）、《关于做好吉林省2018年全国硕士研究生招生考试现场确认相关工作的通知》（吉教考字〔2017〕102号）（1）考生携带本人居民身份证、学历学位证书（普通高校、成人高校、普通高校举办的成人高校学历教育应届本科毕业生持学生证）和网上报名编号，到所选择的报考点确认报名信息、接受报考点工作人员核对相关信息，并按规定配合采集本人图像等相关电子信息。报考“退役大学生士兵”专项硕士研究生招生计划的考生还应提交本人《入伍批准书》和《退出现役证》。</w:t>
            </w:r>
          </w:p>
          <w:p>
            <w:pPr>
              <w:widowControl/>
              <w:spacing w:line="284" w:lineRule="exact"/>
              <w:jc w:val="left"/>
              <w:outlineLvl w:val="1"/>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在2018年9月1日前可取得国家承认本科毕业证书的自学考试和网络教育本科生，须凭颁发毕业证书的省级自学考试机构或网络教育高校出具的相关证明方可办理网上报名、现场确认手续</w:t>
            </w:r>
          </w:p>
        </w:tc>
        <w:tc>
          <w:tcPr>
            <w:tcW w:w="572"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用于</w:t>
            </w:r>
            <w:r>
              <w:rPr>
                <w:rFonts w:hint="eastAsia" w:ascii="宋体" w:hAnsi="宋体" w:cs="仿宋"/>
                <w:color w:val="000000" w:themeColor="text1"/>
                <w:kern w:val="0"/>
                <w:sz w:val="18"/>
                <w:szCs w:val="18"/>
                <w:lang w:val="ru-RU"/>
              </w:rPr>
              <w:t>自学考试和网络教育本科生办理全国硕士研究生考试网上报名、现场确认手续，证明其2018年9月1日前可取得国家承认本科毕业证书</w:t>
            </w:r>
          </w:p>
        </w:tc>
        <w:tc>
          <w:tcPr>
            <w:tcW w:w="196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lang w:val="ru-RU"/>
              </w:rPr>
              <w:t>颁发毕业证书的省级自学考试机构或网络教育高校</w:t>
            </w:r>
          </w:p>
        </w:tc>
        <w:tc>
          <w:tcPr>
            <w:tcW w:w="121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市教育局</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28" w:hRule="atLeast"/>
          <w:jc w:val="center"/>
        </w:trPr>
        <w:tc>
          <w:tcPr>
            <w:tcW w:w="496" w:type="dxa"/>
            <w:tcBorders>
              <w:tl2br w:val="nil"/>
              <w:tr2bl w:val="nil"/>
            </w:tcBorders>
            <w:tcMar>
              <w:left w:w="85" w:type="dxa"/>
              <w:right w:w="85" w:type="dxa"/>
            </w:tcMar>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53</w:t>
            </w:r>
          </w:p>
        </w:tc>
        <w:tc>
          <w:tcPr>
            <w:tcW w:w="1613" w:type="dxa"/>
            <w:tcBorders>
              <w:tl2br w:val="nil"/>
              <w:tr2bl w:val="nil"/>
            </w:tcBorders>
            <w:tcMar>
              <w:left w:w="85" w:type="dxa"/>
              <w:right w:w="85" w:type="dxa"/>
            </w:tcMar>
            <w:vAlign w:val="center"/>
          </w:tcPr>
          <w:p>
            <w:pPr>
              <w:jc w:val="center"/>
              <w:rPr>
                <w:rFonts w:ascii="宋体" w:hAnsi="宋体" w:cs="宋体"/>
                <w:color w:val="auto"/>
                <w:kern w:val="0"/>
                <w:sz w:val="18"/>
                <w:szCs w:val="18"/>
              </w:rPr>
            </w:pPr>
            <w:r>
              <w:rPr>
                <w:rFonts w:ascii="宋体" w:hAnsi="宋体" w:cs="宋体"/>
                <w:color w:val="auto"/>
                <w:kern w:val="0"/>
                <w:sz w:val="18"/>
                <w:szCs w:val="18"/>
              </w:rPr>
              <w:t>经营高危险性体育项目许可安全检验合格证明</w:t>
            </w:r>
          </w:p>
        </w:tc>
        <w:tc>
          <w:tcPr>
            <w:tcW w:w="3642" w:type="dxa"/>
            <w:tcBorders>
              <w:tl2br w:val="nil"/>
              <w:tr2bl w:val="nil"/>
            </w:tcBorders>
            <w:tcMar>
              <w:left w:w="85" w:type="dxa"/>
              <w:right w:w="85" w:type="dxa"/>
            </w:tcMar>
            <w:vAlign w:val="center"/>
          </w:tcPr>
          <w:p>
            <w:pPr>
              <w:spacing w:line="282" w:lineRule="exact"/>
              <w:rPr>
                <w:rFonts w:hint="eastAsia" w:ascii="宋体" w:hAnsi="宋体" w:eastAsia="宋体"/>
                <w:color w:val="auto"/>
                <w:sz w:val="18"/>
                <w:szCs w:val="18"/>
                <w:lang w:val="en-US" w:eastAsia="zh-CN"/>
              </w:rPr>
            </w:pPr>
            <w:r>
              <w:rPr>
                <w:rFonts w:hint="eastAsia" w:ascii="宋体" w:hAnsi="宋体"/>
                <w:color w:val="auto"/>
                <w:sz w:val="18"/>
                <w:szCs w:val="18"/>
              </w:rPr>
              <w:t>1.《全民</w:t>
            </w:r>
            <w:r>
              <w:rPr>
                <w:rFonts w:hint="eastAsia" w:ascii="宋体" w:hAnsi="宋体"/>
                <w:color w:val="auto"/>
                <w:sz w:val="18"/>
                <w:szCs w:val="18"/>
                <w:lang w:eastAsia="zh-CN"/>
              </w:rPr>
              <w:t>健身条例</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2009国务院令560号，2016年2月6日修改</w:t>
            </w:r>
            <w:r>
              <w:rPr>
                <w:rFonts w:hint="eastAsia" w:ascii="宋体" w:hAnsi="宋体"/>
                <w:color w:val="auto"/>
                <w:sz w:val="18"/>
                <w:szCs w:val="18"/>
                <w:lang w:eastAsia="zh-CN"/>
              </w:rPr>
              <w:t>）</w:t>
            </w:r>
            <w:r>
              <w:rPr>
                <w:rFonts w:hint="eastAsia" w:ascii="宋体" w:hAnsi="宋体"/>
                <w:color w:val="auto"/>
                <w:sz w:val="18"/>
                <w:szCs w:val="18"/>
                <w:lang w:val="en-US" w:eastAsia="zh-CN"/>
              </w:rPr>
              <w:t>第32条，企业、个体工商户经营高危险性体育项目的，应当符合下列条件，并向县级以上人民政府体育主管部门提出申请。。。。县级以上人民政府体育主管部门应当自收到申请之日30日内进行实地核查，做出批准或不予批准的决定。批准的，应当发给许可证；不予批准的，应当书面通知申请人并说明理由。</w:t>
            </w:r>
          </w:p>
        </w:tc>
        <w:tc>
          <w:tcPr>
            <w:tcW w:w="572" w:type="dxa"/>
            <w:tcBorders>
              <w:tl2br w:val="nil"/>
              <w:tr2bl w:val="nil"/>
            </w:tcBorders>
            <w:tcMar>
              <w:left w:w="85" w:type="dxa"/>
              <w:right w:w="85" w:type="dxa"/>
            </w:tcMar>
            <w:vAlign w:val="center"/>
          </w:tcPr>
          <w:p>
            <w:pPr>
              <w:jc w:val="center"/>
              <w:rPr>
                <w:rFonts w:hint="eastAsia" w:ascii="宋体" w:hAnsi="宋体" w:eastAsia="宋体"/>
                <w:color w:val="auto"/>
                <w:sz w:val="18"/>
                <w:szCs w:val="18"/>
                <w:lang w:eastAsia="zh-CN"/>
              </w:rPr>
            </w:pPr>
            <w:r>
              <w:rPr>
                <w:rFonts w:hint="eastAsia" w:ascii="宋体" w:hAnsi="宋体"/>
                <w:color w:val="auto"/>
                <w:sz w:val="18"/>
                <w:szCs w:val="18"/>
                <w:lang w:eastAsia="zh-CN"/>
              </w:rPr>
              <w:t>规定依据</w:t>
            </w:r>
          </w:p>
        </w:tc>
        <w:tc>
          <w:tcPr>
            <w:tcW w:w="2439" w:type="dxa"/>
            <w:tcBorders>
              <w:tl2br w:val="nil"/>
              <w:tr2bl w:val="nil"/>
            </w:tcBorders>
            <w:tcMar>
              <w:left w:w="85" w:type="dxa"/>
              <w:right w:w="85" w:type="dxa"/>
            </w:tcMar>
            <w:vAlign w:val="center"/>
          </w:tcPr>
          <w:p>
            <w:pPr>
              <w:rPr>
                <w:rFonts w:ascii="宋体" w:hAnsi="宋体"/>
                <w:color w:val="auto"/>
                <w:sz w:val="18"/>
                <w:szCs w:val="18"/>
              </w:rPr>
            </w:pPr>
            <w:r>
              <w:rPr>
                <w:rFonts w:ascii="宋体" w:hAnsi="宋体"/>
                <w:color w:val="auto"/>
                <w:sz w:val="18"/>
                <w:szCs w:val="18"/>
              </w:rPr>
              <w:t>用于办理经营高危险性体育项目许可</w:t>
            </w:r>
          </w:p>
        </w:tc>
        <w:tc>
          <w:tcPr>
            <w:tcW w:w="1969" w:type="dxa"/>
            <w:tcBorders>
              <w:tl2br w:val="nil"/>
              <w:tr2bl w:val="nil"/>
            </w:tcBorders>
            <w:tcMar>
              <w:left w:w="85" w:type="dxa"/>
              <w:right w:w="85" w:type="dxa"/>
            </w:tcMar>
            <w:vAlign w:val="center"/>
          </w:tcPr>
          <w:p>
            <w:pPr>
              <w:rPr>
                <w:rFonts w:ascii="宋体" w:hAnsi="宋体"/>
                <w:color w:val="auto"/>
                <w:sz w:val="18"/>
                <w:szCs w:val="18"/>
              </w:rPr>
            </w:pPr>
            <w:r>
              <w:rPr>
                <w:rFonts w:ascii="宋体" w:hAnsi="宋体"/>
                <w:color w:val="auto"/>
                <w:sz w:val="18"/>
                <w:szCs w:val="18"/>
              </w:rPr>
              <w:t>国家级体育用品质量检验机构</w:t>
            </w:r>
          </w:p>
        </w:tc>
        <w:tc>
          <w:tcPr>
            <w:tcW w:w="1219" w:type="dxa"/>
            <w:tcBorders>
              <w:tl2br w:val="nil"/>
              <w:tr2bl w:val="nil"/>
            </w:tcBorders>
            <w:tcMar>
              <w:left w:w="85" w:type="dxa"/>
              <w:right w:w="85" w:type="dxa"/>
            </w:tcMar>
            <w:vAlign w:val="center"/>
          </w:tcPr>
          <w:p>
            <w:pPr>
              <w:rPr>
                <w:rFonts w:ascii="宋体" w:hAnsi="宋体" w:cs="Arial"/>
                <w:color w:val="auto"/>
                <w:kern w:val="0"/>
                <w:sz w:val="18"/>
                <w:szCs w:val="18"/>
              </w:rPr>
            </w:pPr>
            <w:r>
              <w:rPr>
                <w:rFonts w:ascii="宋体" w:hAnsi="宋体" w:cs="Arial"/>
                <w:color w:val="auto"/>
                <w:kern w:val="0"/>
                <w:sz w:val="18"/>
                <w:szCs w:val="18"/>
              </w:rPr>
              <w:t>市体育局</w:t>
            </w:r>
          </w:p>
        </w:tc>
        <w:tc>
          <w:tcPr>
            <w:tcW w:w="1527" w:type="dxa"/>
            <w:tcBorders>
              <w:tl2br w:val="nil"/>
              <w:tr2bl w:val="nil"/>
            </w:tcBorders>
            <w:tcMar>
              <w:left w:w="85" w:type="dxa"/>
              <w:right w:w="85" w:type="dxa"/>
            </w:tcMar>
            <w:vAlign w:val="center"/>
          </w:tcPr>
          <w:p>
            <w:pPr>
              <w:rPr>
                <w:rFonts w:ascii="宋体" w:hAnsi="宋体" w:cs="Arial"/>
                <w:color w:val="FF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58" w:hRule="atLeast"/>
          <w:jc w:val="center"/>
        </w:trPr>
        <w:tc>
          <w:tcPr>
            <w:tcW w:w="496" w:type="dxa"/>
            <w:vMerge w:val="restart"/>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4</w:t>
            </w:r>
          </w:p>
        </w:tc>
        <w:tc>
          <w:tcPr>
            <w:tcW w:w="1613" w:type="dxa"/>
            <w:vMerge w:val="restart"/>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婚育情况证明</w:t>
            </w:r>
          </w:p>
        </w:tc>
        <w:tc>
          <w:tcPr>
            <w:tcW w:w="3642" w:type="dxa"/>
            <w:vMerge w:val="restart"/>
            <w:tcBorders>
              <w:tl2br w:val="nil"/>
              <w:tr2bl w:val="nil"/>
            </w:tcBorders>
            <w:tcMar>
              <w:left w:w="85" w:type="dxa"/>
              <w:right w:w="85" w:type="dxa"/>
            </w:tcMar>
            <w:vAlign w:val="center"/>
          </w:tcPr>
          <w:p>
            <w:pPr>
              <w:spacing w:line="282" w:lineRule="exact"/>
              <w:rPr>
                <w:rFonts w:ascii="宋体" w:hAnsi="宋体"/>
                <w:color w:val="000000" w:themeColor="text1"/>
                <w:sz w:val="18"/>
                <w:szCs w:val="18"/>
              </w:rPr>
            </w:pPr>
            <w:r>
              <w:rPr>
                <w:rFonts w:hint="eastAsia" w:ascii="宋体" w:hAnsi="宋体"/>
                <w:color w:val="000000" w:themeColor="text1"/>
                <w:sz w:val="18"/>
                <w:szCs w:val="18"/>
              </w:rPr>
              <w:t>1.关于印发《吉林省人口与计划生育条例》实施中问题解释的通知（吉卫联发</w:t>
            </w:r>
            <w:r>
              <w:rPr>
                <w:rFonts w:hint="eastAsia" w:ascii="宋体" w:hAnsi="宋体" w:cs="宋体"/>
                <w:color w:val="000000" w:themeColor="text1"/>
                <w:sz w:val="18"/>
                <w:szCs w:val="18"/>
              </w:rPr>
              <w:t>〔</w:t>
            </w:r>
            <w:r>
              <w:rPr>
                <w:rFonts w:hint="eastAsia" w:ascii="宋体" w:hAnsi="宋体"/>
                <w:color w:val="000000" w:themeColor="text1"/>
                <w:sz w:val="18"/>
                <w:szCs w:val="18"/>
              </w:rPr>
              <w:t>2016</w:t>
            </w:r>
            <w:r>
              <w:rPr>
                <w:rFonts w:hint="eastAsia" w:ascii="宋体" w:hAnsi="宋体" w:cs="宋体"/>
                <w:color w:val="000000" w:themeColor="text1"/>
                <w:sz w:val="18"/>
                <w:szCs w:val="18"/>
              </w:rPr>
              <w:t>〕</w:t>
            </w:r>
            <w:r>
              <w:rPr>
                <w:rFonts w:hint="eastAsia" w:ascii="宋体" w:hAnsi="宋体"/>
                <w:color w:val="000000" w:themeColor="text1"/>
                <w:sz w:val="18"/>
                <w:szCs w:val="18"/>
              </w:rPr>
              <w:t>20号）第四项 关于计划生育证件办理问题的第一项关于生育服务证办理问题的第三款 未办理结婚登记手续以夫妻名义同居生育第一或者第二个子女的，申请人出具身份证、单位或村(居)婚育情况证明，予以登记，发放生育服务证</w:t>
            </w:r>
          </w:p>
          <w:p>
            <w:pPr>
              <w:spacing w:line="282" w:lineRule="exact"/>
              <w:rPr>
                <w:rFonts w:ascii="宋体" w:hAnsi="宋体"/>
                <w:color w:val="000000" w:themeColor="text1"/>
                <w:sz w:val="18"/>
                <w:szCs w:val="18"/>
              </w:rPr>
            </w:pPr>
            <w:r>
              <w:rPr>
                <w:rFonts w:hint="eastAsia" w:ascii="宋体" w:hAnsi="宋体"/>
                <w:color w:val="000000" w:themeColor="text1"/>
                <w:sz w:val="18"/>
                <w:szCs w:val="18"/>
              </w:rPr>
              <w:t>2.关于印发《吉林省人口与计划生育条例》实施中问题解释的通知（吉卫联发</w:t>
            </w:r>
            <w:r>
              <w:rPr>
                <w:rFonts w:hint="eastAsia" w:ascii="宋体" w:hAnsi="宋体" w:cs="宋体"/>
                <w:color w:val="000000" w:themeColor="text1"/>
                <w:sz w:val="18"/>
                <w:szCs w:val="18"/>
              </w:rPr>
              <w:t>〔</w:t>
            </w:r>
            <w:r>
              <w:rPr>
                <w:rFonts w:hint="eastAsia" w:ascii="宋体" w:hAnsi="宋体"/>
                <w:color w:val="000000" w:themeColor="text1"/>
                <w:sz w:val="18"/>
                <w:szCs w:val="18"/>
              </w:rPr>
              <w:t>2016</w:t>
            </w:r>
            <w:r>
              <w:rPr>
                <w:rFonts w:hint="eastAsia" w:ascii="宋体" w:hAnsi="宋体" w:cs="宋体"/>
                <w:color w:val="000000" w:themeColor="text1"/>
                <w:sz w:val="18"/>
                <w:szCs w:val="18"/>
              </w:rPr>
              <w:t>〕</w:t>
            </w:r>
            <w:r>
              <w:rPr>
                <w:rFonts w:hint="eastAsia" w:ascii="宋体" w:hAnsi="宋体"/>
                <w:color w:val="000000" w:themeColor="text1"/>
                <w:sz w:val="18"/>
                <w:szCs w:val="18"/>
              </w:rPr>
              <w:t>20号）第四项 关于计划生育证件办理问题的第一项关于生育服务证办理问题的第四款 有意愿再生育的夫妻，需提供夫妻双方身份证、户口簿、结婚证、单位或者村(居)出具的婚育证明，经夫妻一方户籍所在地乡(镇)人民政府或者街道办事处签署意见，报县(市、区)卫生和计划生育行政部门审核。符合再生育条件的，予以办理再生育服务证</w:t>
            </w:r>
          </w:p>
          <w:p>
            <w:pPr>
              <w:spacing w:line="282" w:lineRule="exact"/>
              <w:rPr>
                <w:rFonts w:ascii="宋体" w:hAnsi="宋体"/>
                <w:color w:val="000000" w:themeColor="text1"/>
                <w:sz w:val="18"/>
                <w:szCs w:val="18"/>
              </w:rPr>
            </w:pPr>
            <w:r>
              <w:rPr>
                <w:rFonts w:hint="eastAsia" w:ascii="宋体" w:hAnsi="宋体"/>
                <w:color w:val="000000" w:themeColor="text1"/>
                <w:sz w:val="18"/>
                <w:szCs w:val="18"/>
              </w:rPr>
              <w:t>3.</w:t>
            </w:r>
            <w:r>
              <w:rPr>
                <w:rFonts w:hint="eastAsia" w:ascii="宋体" w:hAnsi="宋体" w:cs="Calibri"/>
                <w:color w:val="000000" w:themeColor="text1"/>
                <w:kern w:val="0"/>
                <w:sz w:val="18"/>
                <w:szCs w:val="18"/>
              </w:rPr>
              <w:t>《吉林省生育服务卡办理的若干规定》第六条 意愿再生育的夫妻，需提供夫妻身份证、户口簿、结婚证、单位或村（居）出具的婚育证明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规定证明</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用于办理未办理结婚登记手续以夫妻名义同居生育第一或者第二个子女的生育服务证，证明其婚育情况</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所在单位、</w:t>
            </w:r>
            <w:r>
              <w:rPr>
                <w:rFonts w:hint="eastAsia" w:ascii="宋体" w:hAnsi="宋体"/>
                <w:color w:val="000000" w:themeColor="text1"/>
                <w:sz w:val="18"/>
                <w:szCs w:val="18"/>
                <w:lang w:val="ru-RU"/>
              </w:rPr>
              <w:t>村委会、居委会</w:t>
            </w:r>
          </w:p>
        </w:tc>
        <w:tc>
          <w:tcPr>
            <w:tcW w:w="1219"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olor w:val="000000" w:themeColor="text1"/>
                <w:sz w:val="18"/>
                <w:szCs w:val="18"/>
              </w:rPr>
              <w:t>卫生计生部门</w:t>
            </w:r>
          </w:p>
        </w:tc>
        <w:tc>
          <w:tcPr>
            <w:tcW w:w="1527" w:type="dxa"/>
            <w:vMerge w:val="restart"/>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仅适用于无结婚证的情形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21"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spacing w:line="304" w:lineRule="exact"/>
              <w:rPr>
                <w:rFonts w:ascii="宋体" w:hAnsi="宋体"/>
                <w:color w:val="000000" w:themeColor="text1"/>
                <w:sz w:val="18"/>
                <w:szCs w:val="18"/>
              </w:rPr>
            </w:pP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用于办理再生育服务证，证明其符合再生育条件</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rPr>
            </w:pPr>
            <w:r>
              <w:rPr>
                <w:rFonts w:hint="eastAsia" w:ascii="宋体" w:hAnsi="宋体"/>
                <w:color w:val="000000" w:themeColor="text1"/>
                <w:sz w:val="18"/>
                <w:szCs w:val="18"/>
              </w:rPr>
              <w:t>所在单位、</w:t>
            </w:r>
            <w:r>
              <w:rPr>
                <w:rFonts w:hint="eastAsia" w:ascii="宋体" w:hAnsi="宋体"/>
                <w:color w:val="000000" w:themeColor="text1"/>
                <w:sz w:val="18"/>
                <w:szCs w:val="18"/>
                <w:lang w:val="ru-RU"/>
              </w:rPr>
              <w:t>村委会、居委会</w:t>
            </w:r>
          </w:p>
        </w:tc>
        <w:tc>
          <w:tcPr>
            <w:tcW w:w="1219" w:type="dxa"/>
            <w:tcBorders>
              <w:tl2br w:val="nil"/>
              <w:tr2bl w:val="nil"/>
            </w:tcBorders>
            <w:tcMar>
              <w:left w:w="85" w:type="dxa"/>
              <w:right w:w="85" w:type="dxa"/>
            </w:tcMar>
            <w:vAlign w:val="center"/>
          </w:tcPr>
          <w:p>
            <w:pPr>
              <w:rPr>
                <w:rFonts w:ascii="宋体" w:hAnsi="宋体" w:cs="Calibri"/>
                <w:color w:val="000000" w:themeColor="text1"/>
                <w:kern w:val="0"/>
                <w:sz w:val="18"/>
                <w:szCs w:val="18"/>
              </w:rPr>
            </w:pPr>
            <w:r>
              <w:rPr>
                <w:rFonts w:hint="eastAsia" w:ascii="宋体" w:hAnsi="宋体" w:cs="Calibri"/>
                <w:color w:val="000000" w:themeColor="text1"/>
                <w:kern w:val="0"/>
                <w:sz w:val="18"/>
                <w:szCs w:val="18"/>
              </w:rPr>
              <w:t>县（市）区、开发区</w:t>
            </w:r>
            <w:r>
              <w:rPr>
                <w:rFonts w:hint="eastAsia" w:ascii="宋体" w:hAnsi="宋体"/>
                <w:color w:val="000000" w:themeColor="text1"/>
                <w:sz w:val="18"/>
                <w:szCs w:val="18"/>
              </w:rPr>
              <w:t>卫生计生部门</w:t>
            </w:r>
          </w:p>
        </w:tc>
        <w:tc>
          <w:tcPr>
            <w:tcW w:w="1527" w:type="dxa"/>
            <w:vMerge w:val="continue"/>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14"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5</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sz w:val="18"/>
                <w:szCs w:val="18"/>
              </w:rPr>
              <w:t>家庭经济困难认定（盖章）</w:t>
            </w:r>
          </w:p>
        </w:tc>
        <w:tc>
          <w:tcPr>
            <w:tcW w:w="3642" w:type="dxa"/>
            <w:tcBorders>
              <w:tl2br w:val="nil"/>
              <w:tr2bl w:val="nil"/>
            </w:tcBorders>
            <w:tcMar>
              <w:left w:w="85" w:type="dxa"/>
              <w:right w:w="85" w:type="dxa"/>
            </w:tcMar>
            <w:vAlign w:val="center"/>
          </w:tcPr>
          <w:p>
            <w:pPr>
              <w:spacing w:line="304" w:lineRule="exact"/>
              <w:rPr>
                <w:rFonts w:ascii="宋体" w:hAnsi="宋体"/>
                <w:color w:val="000000" w:themeColor="text1"/>
                <w:sz w:val="18"/>
                <w:szCs w:val="18"/>
              </w:rPr>
            </w:pPr>
            <w:r>
              <w:rPr>
                <w:rFonts w:hint="eastAsia" w:ascii="宋体" w:hAnsi="宋体" w:cs="仿宋"/>
                <w:color w:val="000000" w:themeColor="text1"/>
                <w:sz w:val="18"/>
                <w:szCs w:val="18"/>
              </w:rPr>
              <w:t>《国家助学贷款操作规程（2016 6版）》第三节 贷款受理 二、家庭经济困难资格认定 家庭经济困难是指借款学生家庭所能获得的收入不足以支付其在校期间完成学业所需的基本费用。符合以下条件之一的应优先支持：1.农村特困户和城镇低保户；2.孤儿及残疾人家庭；3.遭受自然灾害，造成重大损失，无力负担学生费用；4.家庭主要成员患有重大疾病；5.家庭主要收入创造者因故丧失劳动能力；6.无稳定收入的单亲家庭；7.老、少、边、穷及偏远农村的家庭经济困难家庭；8.父母双方或一方失业的家庭。家庭经济困难认定证明可由借款学生所在 高中、村（居）委会、乡镇（街道）民政部门任一单位提供</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lang w:val="ru-RU"/>
              </w:rPr>
            </w:pPr>
            <w:r>
              <w:rPr>
                <w:rFonts w:hint="eastAsia" w:ascii="宋体" w:hAnsi="宋体" w:cs="宋体"/>
                <w:color w:val="000000" w:themeColor="text1"/>
                <w:kern w:val="0"/>
                <w:sz w:val="18"/>
                <w:szCs w:val="18"/>
                <w:lang w:val="ru-RU"/>
              </w:rPr>
              <w:t>用于家庭经济困难的大专院校学生办理生源地信用助学贷款，证明其家庭经济困难情况</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lang w:val="ru-RU"/>
              </w:rPr>
            </w:pPr>
            <w:r>
              <w:rPr>
                <w:rFonts w:hint="eastAsia" w:ascii="宋体" w:hAnsi="宋体" w:cs="宋体"/>
                <w:color w:val="000000" w:themeColor="text1"/>
                <w:kern w:val="0"/>
                <w:sz w:val="18"/>
                <w:szCs w:val="18"/>
                <w:lang w:val="ru-RU"/>
              </w:rPr>
              <w:t>借款学生所在 高中、村（居）委会、乡镇（街道）民政部门</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lang w:val="ru-RU"/>
              </w:rPr>
            </w:pPr>
            <w:r>
              <w:rPr>
                <w:rFonts w:hint="eastAsia" w:ascii="宋体" w:hAnsi="宋体" w:cs="宋体"/>
                <w:color w:val="000000" w:themeColor="text1"/>
                <w:kern w:val="0"/>
                <w:sz w:val="18"/>
                <w:szCs w:val="18"/>
                <w:lang w:val="ru-RU"/>
              </w:rPr>
              <w:t>县（市）区、开发区教育部门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29"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6</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助产机构外出生新生儿出生情况证明</w:t>
            </w:r>
          </w:p>
        </w:tc>
        <w:tc>
          <w:tcPr>
            <w:tcW w:w="3642"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吉林省卫生计生委、吉林省妇幼保健院2016年1月下发的《出生医学证明》签发指导意见中的《出生医学证明》签发管理补充规定第二项 助产机构外出生新生儿《出生医学证明》签发管理规定补充说明附加存档资料：2.提供新生儿出生地公安部门或村级以上行政部门出具的能够证明新生儿是在当地助产机构外出生的证明材料</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用于办理助产机构外出生新生儿出生医学证明，证明其为助产机构外出生新生儿</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新生儿出生地公安部门、村级以上行政部门</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Calibri"/>
                <w:color w:val="000000" w:themeColor="text1"/>
                <w:kern w:val="0"/>
                <w:sz w:val="18"/>
                <w:szCs w:val="18"/>
              </w:rPr>
              <w:t>各县（市）区、开发区</w:t>
            </w:r>
            <w:r>
              <w:rPr>
                <w:rFonts w:hint="eastAsia" w:ascii="宋体" w:hAnsi="宋体" w:cs="宋体"/>
                <w:color w:val="000000" w:themeColor="text1"/>
                <w:sz w:val="18"/>
                <w:szCs w:val="18"/>
              </w:rPr>
              <w:t>卫生计生部门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07"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7</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无法核实新生儿母亲信息的证明</w:t>
            </w:r>
          </w:p>
        </w:tc>
        <w:tc>
          <w:tcPr>
            <w:tcW w:w="3642"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关于《出生医学证明》签发指导意见补充说明规定,无法核实新生儿母亲信息的新生儿父亲，办理《出生医学证明》需要提供证明材料中第3条 新生儿父亲常住地公安部门或村级以上行政部门出具的无法核实新生儿母亲信息的证明材料</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用于办理无法核实新生儿母亲信息的新生儿的出生医学证明，证明新生儿母亲信息无法核实</w:t>
            </w:r>
          </w:p>
        </w:tc>
        <w:tc>
          <w:tcPr>
            <w:tcW w:w="196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宋体"/>
                <w:color w:val="000000" w:themeColor="text1"/>
                <w:sz w:val="18"/>
                <w:szCs w:val="18"/>
              </w:rPr>
              <w:t>父亲常住地公安部门、村级以上行政部门</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Calibri"/>
                <w:color w:val="000000" w:themeColor="text1"/>
                <w:kern w:val="0"/>
                <w:sz w:val="18"/>
                <w:szCs w:val="18"/>
              </w:rPr>
              <w:t>各县（市）区、开发区</w:t>
            </w:r>
            <w:r>
              <w:rPr>
                <w:rFonts w:hint="eastAsia" w:ascii="宋体" w:hAnsi="宋体" w:cs="宋体"/>
                <w:color w:val="000000" w:themeColor="text1"/>
                <w:sz w:val="18"/>
                <w:szCs w:val="18"/>
              </w:rPr>
              <w:t>卫生计生部门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03"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5</w:t>
            </w:r>
            <w:r>
              <w:rPr>
                <w:rFonts w:hint="eastAsia" w:ascii="宋体" w:hAnsi="宋体" w:cs="宋体"/>
                <w:color w:val="000000" w:themeColor="text1"/>
                <w:kern w:val="0"/>
                <w:sz w:val="18"/>
                <w:szCs w:val="18"/>
                <w:lang w:val="en-US" w:eastAsia="zh-CN"/>
              </w:rPr>
              <w:t>8</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林木权属证明</w:t>
            </w:r>
          </w:p>
        </w:tc>
        <w:tc>
          <w:tcPr>
            <w:tcW w:w="3642"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《吉林省林木采伐管理若干规定》第三条第3款 申请林木采伐许可证必须提交林权证或乡政府出具的林木权属证明</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用于办理林木采伐手续，证明采伐林木的权属关系</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所在乡镇政府</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市林业局、县（市）区林业局</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r>
              <w:rPr>
                <w:rFonts w:hint="eastAsia" w:ascii="宋体" w:hAnsi="宋体" w:cs="Arial"/>
                <w:color w:val="000000" w:themeColor="text1"/>
                <w:kern w:val="0"/>
                <w:sz w:val="18"/>
                <w:szCs w:val="18"/>
              </w:rPr>
              <w:t>仅适用于无林权证的情形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6" w:type="dxa"/>
            <w:tcBorders>
              <w:tl2br w:val="nil"/>
              <w:tr2bl w:val="nil"/>
            </w:tcBorders>
            <w:tcMar>
              <w:left w:w="85" w:type="dxa"/>
              <w:right w:w="85" w:type="dxa"/>
            </w:tcMar>
            <w:vAlign w:val="center"/>
          </w:tcPr>
          <w:p>
            <w:pPr>
              <w:widowControl/>
              <w:jc w:val="center"/>
              <w:rPr>
                <w:rFonts w:hint="default"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lang w:val="en-US" w:eastAsia="zh-CN"/>
              </w:rPr>
              <w:t>59</w:t>
            </w:r>
          </w:p>
        </w:tc>
        <w:tc>
          <w:tcPr>
            <w:tcW w:w="1613" w:type="dxa"/>
            <w:tcBorders>
              <w:tl2br w:val="nil"/>
              <w:tr2bl w:val="nil"/>
            </w:tcBorders>
            <w:tcMar>
              <w:left w:w="85" w:type="dxa"/>
              <w:right w:w="85" w:type="dxa"/>
            </w:tcMar>
            <w:vAlign w:val="center"/>
          </w:tcPr>
          <w:p>
            <w:pPr>
              <w:jc w:val="center"/>
              <w:rPr>
                <w:rFonts w:ascii="宋体" w:hAnsi="宋体"/>
                <w:color w:val="000000" w:themeColor="text1"/>
                <w:sz w:val="18"/>
                <w:szCs w:val="18"/>
                <w:lang w:val="ru-RU"/>
              </w:rPr>
            </w:pPr>
            <w:r>
              <w:rPr>
                <w:rFonts w:hint="eastAsia" w:ascii="宋体" w:hAnsi="宋体"/>
                <w:color w:val="000000" w:themeColor="text1"/>
                <w:sz w:val="18"/>
                <w:szCs w:val="18"/>
                <w:lang w:val="ru-RU"/>
              </w:rPr>
              <w:t>入境港澳许可</w:t>
            </w:r>
          </w:p>
          <w:p>
            <w:pPr>
              <w:jc w:val="center"/>
              <w:rPr>
                <w:rFonts w:ascii="宋体" w:hAnsi="宋体"/>
                <w:color w:val="000000" w:themeColor="text1"/>
                <w:sz w:val="18"/>
                <w:szCs w:val="18"/>
                <w:lang w:val="ru-RU"/>
              </w:rPr>
            </w:pPr>
            <w:r>
              <w:rPr>
                <w:rFonts w:hint="eastAsia" w:ascii="宋体" w:hAnsi="宋体"/>
                <w:color w:val="000000" w:themeColor="text1"/>
                <w:sz w:val="18"/>
                <w:szCs w:val="18"/>
                <w:lang w:val="ru-RU"/>
              </w:rPr>
              <w:t>（签注）证明</w:t>
            </w:r>
          </w:p>
        </w:tc>
        <w:tc>
          <w:tcPr>
            <w:tcW w:w="3642" w:type="dxa"/>
            <w:tcBorders>
              <w:tl2br w:val="nil"/>
              <w:tr2bl w:val="nil"/>
            </w:tcBorders>
            <w:tcMar>
              <w:left w:w="85" w:type="dxa"/>
              <w:right w:w="85" w:type="dxa"/>
            </w:tcMar>
            <w:vAlign w:val="center"/>
          </w:tcPr>
          <w:p>
            <w:pPr>
              <w:pStyle w:val="8"/>
              <w:shd w:val="clear" w:color="auto" w:fill="FFFFFF"/>
              <w:spacing w:before="0" w:beforeAutospacing="0" w:after="0" w:afterAutospacing="0"/>
              <w:jc w:val="both"/>
              <w:rPr>
                <w:color w:val="000000" w:themeColor="text1"/>
                <w:sz w:val="18"/>
                <w:szCs w:val="18"/>
              </w:rPr>
            </w:pPr>
            <w:r>
              <w:rPr>
                <w:rFonts w:hint="eastAsia"/>
                <w:color w:val="000000" w:themeColor="text1"/>
                <w:sz w:val="18"/>
                <w:szCs w:val="18"/>
              </w:rPr>
              <w:t>《</w:t>
            </w:r>
            <w:r>
              <w:rPr>
                <w:color w:val="000000" w:themeColor="text1"/>
                <w:sz w:val="18"/>
                <w:szCs w:val="18"/>
              </w:rPr>
              <w:t>中国公民因私事往来</w:t>
            </w:r>
            <w:r>
              <w:fldChar w:fldCharType="begin"/>
            </w:r>
            <w:r>
              <w:instrText xml:space="preserve"> HYPERLINK "https://baike.baidu.com/item/%E9%A6%99%E6%B8%AF" \t "_blank" </w:instrText>
            </w:r>
            <w:r>
              <w:fldChar w:fldCharType="separate"/>
            </w:r>
            <w:r>
              <w:rPr>
                <w:color w:val="000000" w:themeColor="text1"/>
                <w:sz w:val="18"/>
                <w:szCs w:val="18"/>
              </w:rPr>
              <w:t>香港</w:t>
            </w:r>
            <w:r>
              <w:rPr>
                <w:color w:val="000000" w:themeColor="text1"/>
                <w:sz w:val="18"/>
                <w:szCs w:val="18"/>
              </w:rPr>
              <w:fldChar w:fldCharType="end"/>
            </w:r>
            <w:r>
              <w:rPr>
                <w:color w:val="000000" w:themeColor="text1"/>
                <w:sz w:val="18"/>
                <w:szCs w:val="18"/>
              </w:rPr>
              <w:t>地区或者</w:t>
            </w:r>
            <w:r>
              <w:fldChar w:fldCharType="begin"/>
            </w:r>
            <w:r>
              <w:instrText xml:space="preserve"> HYPERLINK "https://baike.baidu.com/item/%E6%BE%B3%E9%97%A8" \t "_blank" </w:instrText>
            </w:r>
            <w:r>
              <w:fldChar w:fldCharType="separate"/>
            </w:r>
            <w:r>
              <w:rPr>
                <w:color w:val="000000" w:themeColor="text1"/>
                <w:sz w:val="18"/>
                <w:szCs w:val="18"/>
              </w:rPr>
              <w:t>澳门</w:t>
            </w:r>
            <w:r>
              <w:rPr>
                <w:color w:val="000000" w:themeColor="text1"/>
                <w:sz w:val="18"/>
                <w:szCs w:val="18"/>
              </w:rPr>
              <w:fldChar w:fldCharType="end"/>
            </w:r>
            <w:r>
              <w:rPr>
                <w:color w:val="000000" w:themeColor="text1"/>
                <w:sz w:val="18"/>
                <w:szCs w:val="18"/>
              </w:rPr>
              <w:t>地区的暂行管理办法</w:t>
            </w:r>
            <w:r>
              <w:rPr>
                <w:rFonts w:hint="eastAsia"/>
                <w:color w:val="000000" w:themeColor="text1"/>
                <w:sz w:val="18"/>
                <w:szCs w:val="18"/>
              </w:rPr>
              <w:t>》</w:t>
            </w:r>
            <w:r>
              <w:rPr>
                <w:color w:val="000000" w:themeColor="text1"/>
                <w:sz w:val="18"/>
                <w:szCs w:val="18"/>
              </w:rPr>
              <w:t>第九条 内地公民因私事申请前往香港、澳门，须回答有关询问并履行下列手续：（一）交验户口簿或者其他</w:t>
            </w:r>
            <w:r>
              <w:fldChar w:fldCharType="begin"/>
            </w:r>
            <w:r>
              <w:instrText xml:space="preserve"> HYPERLINK "https://baike.so.com/doc/4520555-4730576.html" \t "_blank" </w:instrText>
            </w:r>
            <w:r>
              <w:fldChar w:fldCharType="separate"/>
            </w:r>
            <w:r>
              <w:rPr>
                <w:color w:val="000000" w:themeColor="text1"/>
                <w:sz w:val="18"/>
                <w:szCs w:val="18"/>
              </w:rPr>
              <w:t>户籍证明</w:t>
            </w:r>
            <w:r>
              <w:rPr>
                <w:color w:val="000000" w:themeColor="text1"/>
                <w:sz w:val="18"/>
                <w:szCs w:val="18"/>
              </w:rPr>
              <w:fldChar w:fldCharType="end"/>
            </w:r>
            <w:r>
              <w:rPr>
                <w:color w:val="000000" w:themeColor="text1"/>
                <w:sz w:val="18"/>
                <w:szCs w:val="18"/>
              </w:rPr>
              <w:t>。（二）填写申请表；（三）提交所在工作单位对申请人前往香港、澳门的意见；（四）提交与申请事由相应的证明。</w:t>
            </w:r>
          </w:p>
          <w:p>
            <w:pPr>
              <w:pStyle w:val="8"/>
              <w:shd w:val="clear" w:color="auto" w:fill="FFFFFF"/>
              <w:spacing w:before="0" w:beforeAutospacing="0" w:after="0" w:afterAutospacing="0"/>
              <w:jc w:val="both"/>
              <w:rPr>
                <w:color w:val="000000" w:themeColor="text1"/>
                <w:sz w:val="18"/>
                <w:szCs w:val="18"/>
              </w:rPr>
            </w:pPr>
            <w:r>
              <w:rPr>
                <w:color w:val="000000" w:themeColor="text1"/>
                <w:sz w:val="18"/>
                <w:szCs w:val="18"/>
              </w:rPr>
              <w:t>第十条 本办法第九条第四项所称的证明是指：（一）夫妻团聚，须提交合法婚姻证明，以及配偶在香港、澳门有永久居住资格的证明；（二）去香港、澳门照顾年老体弱父母或者无依无靠的老人、儿童投靠香港、澳门亲属，须提交与香港、澳门</w:t>
            </w:r>
            <w:r>
              <w:fldChar w:fldCharType="begin"/>
            </w:r>
            <w:r>
              <w:instrText xml:space="preserve"> HYPERLINK "https://baike.so.com/doc/6491110-6704818.html" \t "_blank" </w:instrText>
            </w:r>
            <w:r>
              <w:fldChar w:fldCharType="separate"/>
            </w:r>
            <w:r>
              <w:rPr>
                <w:color w:val="000000" w:themeColor="text1"/>
                <w:sz w:val="18"/>
                <w:szCs w:val="18"/>
              </w:rPr>
              <w:t>亲属关系</w:t>
            </w:r>
            <w:r>
              <w:rPr>
                <w:color w:val="000000" w:themeColor="text1"/>
                <w:sz w:val="18"/>
                <w:szCs w:val="18"/>
              </w:rPr>
              <w:fldChar w:fldCharType="end"/>
            </w:r>
            <w:r>
              <w:rPr>
                <w:color w:val="000000" w:themeColor="text1"/>
                <w:sz w:val="18"/>
                <w:szCs w:val="18"/>
              </w:rPr>
              <w:t>及其在香港、澳门有永久居住资格的证明；（三）继承或者处理产业，须提交产业状况和合法继承权的证明；（四）探望有香港、澳门亲属，须提交亲属函件；时间急迫的，应尽可能提交与申请事由相关的说明或者证明；（五）会见台湾亲属或者会见居住国外的亲属，须提交亲属到达香港、澳门日期的确切证明</w:t>
            </w:r>
          </w:p>
        </w:tc>
        <w:tc>
          <w:tcPr>
            <w:tcW w:w="572" w:type="dxa"/>
            <w:tcBorders>
              <w:tl2br w:val="nil"/>
              <w:tr2bl w:val="nil"/>
            </w:tcBorders>
            <w:tcMar>
              <w:left w:w="85" w:type="dxa"/>
              <w:right w:w="85" w:type="dxa"/>
            </w:tcMar>
            <w:vAlign w:val="center"/>
          </w:tcPr>
          <w:p>
            <w:pPr>
              <w:jc w:val="center"/>
              <w:rPr>
                <w:rFonts w:ascii="宋体" w:hAnsi="宋体"/>
                <w:color w:val="000000" w:themeColor="text1"/>
                <w:sz w:val="18"/>
                <w:szCs w:val="18"/>
              </w:rPr>
            </w:pPr>
            <w:r>
              <w:rPr>
                <w:rFonts w:hint="eastAsia" w:ascii="宋体" w:hAnsi="宋体"/>
                <w:color w:val="000000" w:themeColor="text1"/>
                <w:sz w:val="18"/>
                <w:szCs w:val="18"/>
              </w:rPr>
              <w:t>推定依据</w:t>
            </w:r>
          </w:p>
        </w:tc>
        <w:tc>
          <w:tcPr>
            <w:tcW w:w="2439" w:type="dxa"/>
            <w:tcBorders>
              <w:tl2br w:val="nil"/>
              <w:tr2bl w:val="nil"/>
            </w:tcBorders>
            <w:tcMar>
              <w:left w:w="85" w:type="dxa"/>
              <w:right w:w="85" w:type="dxa"/>
            </w:tcMar>
            <w:vAlign w:val="center"/>
          </w:tcPr>
          <w:p>
            <w:pPr>
              <w:rPr>
                <w:rFonts w:ascii="宋体" w:hAnsi="宋体"/>
                <w:color w:val="000000" w:themeColor="text1"/>
                <w:sz w:val="18"/>
                <w:szCs w:val="18"/>
                <w:lang w:val="ru-RU"/>
              </w:rPr>
            </w:pPr>
            <w:r>
              <w:rPr>
                <w:rFonts w:hint="eastAsia" w:ascii="宋体" w:hAnsi="宋体"/>
                <w:color w:val="000000" w:themeColor="text1"/>
                <w:sz w:val="18"/>
                <w:szCs w:val="18"/>
                <w:lang w:val="ru-RU"/>
              </w:rPr>
              <w:t>用于办理入境港澳许可证件，证明符合入境港澳的相关条件</w:t>
            </w:r>
          </w:p>
        </w:tc>
        <w:tc>
          <w:tcPr>
            <w:tcW w:w="1969" w:type="dxa"/>
            <w:tcBorders>
              <w:tl2br w:val="nil"/>
              <w:tr2bl w:val="nil"/>
            </w:tcBorders>
            <w:tcMar>
              <w:left w:w="85" w:type="dxa"/>
              <w:right w:w="85" w:type="dxa"/>
            </w:tcMar>
            <w:vAlign w:val="center"/>
          </w:tcPr>
          <w:p>
            <w:pPr>
              <w:rPr>
                <w:rFonts w:ascii="宋体" w:hAnsi="宋体"/>
                <w:color w:val="000000" w:themeColor="text1"/>
                <w:sz w:val="18"/>
                <w:szCs w:val="18"/>
                <w:lang w:val="ru-RU"/>
              </w:rPr>
            </w:pPr>
            <w:r>
              <w:rPr>
                <w:rFonts w:hint="eastAsia" w:ascii="宋体" w:hAnsi="宋体"/>
                <w:color w:val="000000" w:themeColor="text1"/>
                <w:sz w:val="18"/>
                <w:szCs w:val="18"/>
                <w:lang w:val="ru-RU"/>
              </w:rPr>
              <w:t>香港入境事务处或澳门警察局</w:t>
            </w:r>
          </w:p>
        </w:tc>
        <w:tc>
          <w:tcPr>
            <w:tcW w:w="1219" w:type="dxa"/>
            <w:tcBorders>
              <w:tl2br w:val="nil"/>
              <w:tr2bl w:val="nil"/>
            </w:tcBorders>
            <w:tcMar>
              <w:left w:w="85" w:type="dxa"/>
              <w:right w:w="85" w:type="dxa"/>
            </w:tcMar>
            <w:vAlign w:val="center"/>
          </w:tcPr>
          <w:p>
            <w:pPr>
              <w:rPr>
                <w:rFonts w:ascii="宋体" w:hAnsi="宋体" w:cs="宋体"/>
                <w:color w:val="000000" w:themeColor="text1"/>
                <w:sz w:val="18"/>
                <w:szCs w:val="18"/>
              </w:rPr>
            </w:pPr>
            <w:r>
              <w:rPr>
                <w:rFonts w:hint="eastAsia" w:ascii="宋体" w:hAnsi="宋体" w:cs="Calibri"/>
                <w:color w:val="000000" w:themeColor="text1"/>
                <w:kern w:val="0"/>
                <w:sz w:val="18"/>
                <w:szCs w:val="18"/>
              </w:rPr>
              <w:t>县（市）区</w:t>
            </w:r>
            <w:r>
              <w:rPr>
                <w:rFonts w:hint="eastAsia" w:ascii="宋体" w:hAnsi="宋体" w:cs="宋体"/>
                <w:color w:val="000000" w:themeColor="text1"/>
                <w:sz w:val="18"/>
                <w:szCs w:val="18"/>
              </w:rPr>
              <w:t>公安局</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30"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0</w:t>
            </w:r>
          </w:p>
        </w:tc>
        <w:tc>
          <w:tcPr>
            <w:tcW w:w="1613"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属于农村集体经济组织成员证明</w:t>
            </w:r>
          </w:p>
        </w:tc>
        <w:tc>
          <w:tcPr>
            <w:tcW w:w="3642"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《房屋登记办法》</w:t>
            </w:r>
            <w:r>
              <w:rPr>
                <w:rFonts w:hint="eastAsia" w:ascii="宋体" w:hAnsi="宋体" w:cs="宋体"/>
                <w:bCs/>
                <w:color w:val="000000" w:themeColor="text1"/>
                <w:kern w:val="0"/>
                <w:sz w:val="18"/>
                <w:szCs w:val="18"/>
              </w:rPr>
              <w:t>第八十三条</w:t>
            </w:r>
            <w:r>
              <w:rPr>
                <w:rFonts w:hint="eastAsia" w:ascii="宋体" w:hAnsi="宋体" w:cs="宋体"/>
                <w:color w:val="000000" w:themeColor="text1"/>
                <w:kern w:val="0"/>
                <w:sz w:val="18"/>
                <w:szCs w:val="18"/>
              </w:rPr>
              <w:t>　因合法建造房屋申请房屋所有权初始登记的，应当提交下列材料：（一）登记申请书；（二）申请人的身份证明；（三）宅基地使用权证明或者集体所有建设用地使用权证明；（四）申请登记房屋符合城乡规划的证明；（五）房屋测绘报告或者村民住房平面图；（六）其他必要材料。申请村民住房所有权初始登记的，还应当提交申请人属于房屋所在地农村集体经济组织成员的证明</w:t>
            </w:r>
          </w:p>
        </w:tc>
        <w:tc>
          <w:tcPr>
            <w:tcW w:w="572" w:type="dxa"/>
            <w:tcBorders>
              <w:tl2br w:val="nil"/>
              <w:tr2bl w:val="nil"/>
            </w:tcBorders>
            <w:tcMar>
              <w:left w:w="85" w:type="dxa"/>
              <w:right w:w="85" w:type="dxa"/>
            </w:tcMar>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用于法建造房屋申请房屋所有权初始登记，证明申请人为本集体经济组织成员</w:t>
            </w:r>
          </w:p>
        </w:tc>
        <w:tc>
          <w:tcPr>
            <w:tcW w:w="196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所在地村委会</w:t>
            </w:r>
          </w:p>
        </w:tc>
        <w:tc>
          <w:tcPr>
            <w:tcW w:w="1219" w:type="dxa"/>
            <w:tcBorders>
              <w:tl2br w:val="nil"/>
              <w:tr2bl w:val="nil"/>
            </w:tcBorders>
            <w:tcMar>
              <w:left w:w="85" w:type="dxa"/>
              <w:right w:w="85" w:type="dxa"/>
            </w:tcMar>
            <w:vAlign w:val="center"/>
          </w:tcPr>
          <w:p>
            <w:pPr>
              <w:rPr>
                <w:rFonts w:ascii="宋体" w:hAnsi="宋体" w:cs="宋体"/>
                <w:color w:val="000000" w:themeColor="text1"/>
                <w:kern w:val="0"/>
                <w:sz w:val="18"/>
                <w:szCs w:val="18"/>
              </w:rPr>
            </w:pPr>
            <w:r>
              <w:rPr>
                <w:rFonts w:hint="eastAsia" w:ascii="宋体" w:hAnsi="宋体" w:cs="宋体"/>
                <w:color w:val="000000" w:themeColor="text1"/>
                <w:kern w:val="0"/>
                <w:sz w:val="18"/>
                <w:szCs w:val="18"/>
              </w:rPr>
              <w:t>房屋产权管理中心、不动产登记中心</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8"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1</w:t>
            </w:r>
          </w:p>
        </w:tc>
        <w:tc>
          <w:tcPr>
            <w:tcW w:w="1613"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男职工配偶无单位证明</w:t>
            </w:r>
          </w:p>
        </w:tc>
        <w:tc>
          <w:tcPr>
            <w:tcW w:w="3642" w:type="dxa"/>
            <w:tcBorders>
              <w:tl2br w:val="nil"/>
              <w:tr2bl w:val="nil"/>
            </w:tcBorders>
            <w:tcMar>
              <w:left w:w="85" w:type="dxa"/>
              <w:right w:w="85" w:type="dxa"/>
            </w:tcMar>
            <w:vAlign w:val="center"/>
          </w:tcPr>
          <w:p>
            <w:pPr>
              <w:widowControl/>
              <w:shd w:val="clear" w:color="auto" w:fill="FFFFFF"/>
              <w:rPr>
                <w:rFonts w:ascii="宋体" w:hAnsi="宋体" w:cs="宋体"/>
                <w:color w:val="000000" w:themeColor="text1"/>
                <w:kern w:val="0"/>
                <w:sz w:val="18"/>
                <w:szCs w:val="18"/>
              </w:rPr>
            </w:pPr>
            <w:r>
              <w:rPr>
                <w:rFonts w:hint="eastAsia" w:ascii="宋体" w:hAnsi="宋体" w:cs="宋体"/>
                <w:color w:val="000000" w:themeColor="text1"/>
                <w:kern w:val="0"/>
                <w:sz w:val="18"/>
                <w:szCs w:val="18"/>
              </w:rPr>
              <w:t>《吉林省城镇职工生育保险办法》</w:t>
            </w:r>
            <w:r>
              <w:rPr>
                <w:rFonts w:ascii="宋体" w:hAnsi="宋体" w:cs="Arial"/>
                <w:color w:val="000000" w:themeColor="text1"/>
                <w:kern w:val="0"/>
                <w:sz w:val="18"/>
                <w:szCs w:val="18"/>
              </w:rPr>
              <w:t>第二十二条 符合本办法第十六条规定的，凭男职工配偶所在地居民(社区)、村委员会出具的无工作单位的证明、生育或者实施计划生育手术的证明以及所发生医疗费用的有效凭据，到经办机构按规定报销医疗费</w:t>
            </w:r>
          </w:p>
        </w:tc>
        <w:tc>
          <w:tcPr>
            <w:tcW w:w="572" w:type="dxa"/>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用于男职工参加生育保险领取生育保险待遇，证明其配偶无工作单位</w:t>
            </w:r>
          </w:p>
        </w:tc>
        <w:tc>
          <w:tcPr>
            <w:tcW w:w="196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olor w:val="000000" w:themeColor="text1"/>
                <w:sz w:val="18"/>
                <w:szCs w:val="18"/>
                <w:lang w:val="ru-RU"/>
              </w:rPr>
              <w:t>村委会、居委会、</w:t>
            </w:r>
            <w:r>
              <w:rPr>
                <w:rFonts w:hint="eastAsia" w:ascii="宋体" w:hAnsi="宋体" w:cs="宋体"/>
                <w:color w:val="000000" w:themeColor="text1"/>
                <w:kern w:val="0"/>
                <w:sz w:val="18"/>
                <w:szCs w:val="18"/>
              </w:rPr>
              <w:t>就业局（劳保所）</w:t>
            </w:r>
          </w:p>
        </w:tc>
        <w:tc>
          <w:tcPr>
            <w:tcW w:w="1219" w:type="dxa"/>
            <w:tcBorders>
              <w:tl2br w:val="nil"/>
              <w:tr2bl w:val="nil"/>
            </w:tcBorders>
            <w:tcMar>
              <w:left w:w="85" w:type="dxa"/>
              <w:right w:w="85" w:type="dxa"/>
            </w:tcMar>
            <w:vAlign w:val="center"/>
          </w:tcPr>
          <w:p>
            <w:pPr>
              <w:widowControl/>
              <w:rPr>
                <w:rFonts w:ascii="宋体" w:hAnsi="宋体" w:cs="宋体"/>
                <w:color w:val="000000" w:themeColor="text1"/>
                <w:kern w:val="0"/>
                <w:sz w:val="18"/>
                <w:szCs w:val="18"/>
              </w:rPr>
            </w:pPr>
            <w:r>
              <w:rPr>
                <w:rFonts w:hint="eastAsia" w:ascii="宋体" w:hAnsi="宋体" w:cs="宋体"/>
                <w:color w:val="000000" w:themeColor="text1"/>
                <w:kern w:val="0"/>
                <w:sz w:val="18"/>
                <w:szCs w:val="18"/>
              </w:rPr>
              <w:t>县（市）区人社部门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15"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2</w:t>
            </w:r>
          </w:p>
        </w:tc>
        <w:tc>
          <w:tcPr>
            <w:tcW w:w="1613" w:type="dxa"/>
            <w:tcBorders>
              <w:tl2br w:val="nil"/>
              <w:tr2bl w:val="nil"/>
            </w:tcBorders>
            <w:tcMar>
              <w:left w:w="85" w:type="dxa"/>
              <w:right w:w="85" w:type="dxa"/>
            </w:tcMar>
            <w:vAlign w:val="center"/>
          </w:tcPr>
          <w:p>
            <w:pPr>
              <w:jc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失业登记及</w:t>
            </w:r>
          </w:p>
          <w:p>
            <w:pPr>
              <w:jc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rPr>
              <w:t>求职证明</w:t>
            </w:r>
          </w:p>
        </w:tc>
        <w:tc>
          <w:tcPr>
            <w:tcW w:w="3642"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《劳动和社会保障部《失业保险金申领发放办法》第七条</w:t>
            </w:r>
            <w:r>
              <w:rPr>
                <w:rFonts w:hint="eastAsia" w:ascii="宋体" w:hAnsi="宋体" w:cs="仿宋"/>
                <w:color w:val="000000" w:themeColor="text1"/>
                <w:kern w:val="0"/>
                <w:sz w:val="18"/>
                <w:szCs w:val="18"/>
              </w:rPr>
              <w:t xml:space="preserve"> </w:t>
            </w:r>
            <w:r>
              <w:rPr>
                <w:rFonts w:hint="eastAsia" w:ascii="宋体" w:hAnsi="宋体" w:cs="仿宋"/>
                <w:color w:val="000000" w:themeColor="text1"/>
                <w:kern w:val="0"/>
                <w:sz w:val="18"/>
                <w:szCs w:val="18"/>
                <w:lang w:val="ru-RU"/>
              </w:rPr>
              <w:t xml:space="preserve">失业人员申领失业保险金应填写《失业保险金申领表》，并出示下列证明材料：（三）失业登记及求职证明  </w:t>
            </w:r>
          </w:p>
        </w:tc>
        <w:tc>
          <w:tcPr>
            <w:tcW w:w="572" w:type="dxa"/>
            <w:tcBorders>
              <w:tl2br w:val="nil"/>
              <w:tr2bl w:val="nil"/>
            </w:tcBorders>
            <w:tcMar>
              <w:left w:w="85" w:type="dxa"/>
              <w:right w:w="85" w:type="dxa"/>
            </w:tcMar>
            <w:vAlign w:val="center"/>
          </w:tcPr>
          <w:p>
            <w:pPr>
              <w:jc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推定依据</w:t>
            </w:r>
          </w:p>
        </w:tc>
        <w:tc>
          <w:tcPr>
            <w:tcW w:w="243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用于失业人员申领失业保险金，证明其失业状态</w:t>
            </w:r>
          </w:p>
        </w:tc>
        <w:tc>
          <w:tcPr>
            <w:tcW w:w="196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社区人力资源和社会保障服务站、人力资源市场、就业部门</w:t>
            </w:r>
          </w:p>
        </w:tc>
        <w:tc>
          <w:tcPr>
            <w:tcW w:w="121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宋体"/>
                <w:color w:val="000000" w:themeColor="text1"/>
                <w:kern w:val="0"/>
                <w:sz w:val="18"/>
                <w:szCs w:val="18"/>
              </w:rPr>
              <w:t>县（市）区</w:t>
            </w:r>
            <w:r>
              <w:rPr>
                <w:rFonts w:hint="eastAsia" w:ascii="宋体" w:hAnsi="宋体" w:cs="仿宋"/>
                <w:color w:val="000000" w:themeColor="text1"/>
                <w:kern w:val="0"/>
                <w:sz w:val="18"/>
                <w:szCs w:val="18"/>
                <w:lang w:val="ru-RU"/>
              </w:rPr>
              <w:t>人社部门、社保部门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74"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3</w:t>
            </w:r>
          </w:p>
        </w:tc>
        <w:tc>
          <w:tcPr>
            <w:tcW w:w="1613" w:type="dxa"/>
            <w:tcBorders>
              <w:tl2br w:val="nil"/>
              <w:tr2bl w:val="nil"/>
            </w:tcBorders>
            <w:tcMar>
              <w:left w:w="85" w:type="dxa"/>
              <w:right w:w="85" w:type="dxa"/>
            </w:tcMar>
            <w:vAlign w:val="center"/>
          </w:tcPr>
          <w:p>
            <w:pPr>
              <w:jc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零就业家庭证明</w:t>
            </w:r>
          </w:p>
        </w:tc>
        <w:tc>
          <w:tcPr>
            <w:tcW w:w="3642"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《吉林省就业困难人员就业援助试行办法》（吉人社办字〔2017〕80号）第二条 认定就业困难人员按照个人申报、社区人力资源社会保障服务站初审公示、街道（乡镇）人力资源社会保障事务所复核、县（市、区）就业服务局核准确认的程序进行。</w:t>
            </w:r>
          </w:p>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一）提出申请。凡符合前述就业困难人员范围的失业人员，应持本人身份证原件（复印件）、《就业失业登记证》原件、近期两寸彩色照片3张等证明资料，向户籍所在社区人力资源社会保障服务站提出申请，并填写《吉林省就业困难人员申请审核认定表》（以下简称《认定表》，见附件1），不同类别的就业困难人员还需分别提供以下相关证明材料：4、零就业家庭成员需提供：社区人力资源社会保障服务站开具的零就业家庭证明</w:t>
            </w:r>
          </w:p>
        </w:tc>
        <w:tc>
          <w:tcPr>
            <w:tcW w:w="572" w:type="dxa"/>
            <w:tcBorders>
              <w:tl2br w:val="nil"/>
              <w:tr2bl w:val="nil"/>
            </w:tcBorders>
            <w:tcMar>
              <w:left w:w="85" w:type="dxa"/>
              <w:right w:w="85" w:type="dxa"/>
            </w:tcMar>
            <w:vAlign w:val="center"/>
          </w:tcPr>
          <w:p>
            <w:pPr>
              <w:jc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规定依据</w:t>
            </w:r>
          </w:p>
        </w:tc>
        <w:tc>
          <w:tcPr>
            <w:tcW w:w="243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用于认定就业困难人员，证明其为零就业家庭成员</w:t>
            </w:r>
          </w:p>
        </w:tc>
        <w:tc>
          <w:tcPr>
            <w:tcW w:w="196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社区人力资源和社会保障服务站</w:t>
            </w:r>
          </w:p>
        </w:tc>
        <w:tc>
          <w:tcPr>
            <w:tcW w:w="1219" w:type="dxa"/>
            <w:tcBorders>
              <w:tl2br w:val="nil"/>
              <w:tr2bl w:val="nil"/>
            </w:tcBorders>
            <w:tcMar>
              <w:left w:w="85" w:type="dxa"/>
              <w:right w:w="85" w:type="dxa"/>
            </w:tcMar>
            <w:vAlign w:val="center"/>
          </w:tcPr>
          <w:p>
            <w:pPr>
              <w:rPr>
                <w:rFonts w:ascii="宋体" w:hAnsi="宋体" w:cs="仿宋"/>
                <w:color w:val="000000" w:themeColor="text1"/>
                <w:kern w:val="0"/>
                <w:sz w:val="18"/>
                <w:szCs w:val="18"/>
                <w:lang w:val="ru-RU"/>
              </w:rPr>
            </w:pPr>
            <w:r>
              <w:rPr>
                <w:rFonts w:hint="eastAsia" w:ascii="宋体" w:hAnsi="宋体" w:cs="宋体"/>
                <w:color w:val="000000" w:themeColor="text1"/>
                <w:kern w:val="0"/>
                <w:sz w:val="18"/>
                <w:szCs w:val="18"/>
              </w:rPr>
              <w:t>县（市）区</w:t>
            </w:r>
            <w:r>
              <w:rPr>
                <w:rFonts w:hint="eastAsia" w:ascii="宋体" w:hAnsi="宋体" w:cs="仿宋"/>
                <w:color w:val="000000" w:themeColor="text1"/>
                <w:kern w:val="0"/>
                <w:sz w:val="18"/>
                <w:szCs w:val="18"/>
                <w:lang w:val="ru-RU"/>
              </w:rPr>
              <w:t>人社部门、社保部门</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73" w:hRule="atLeast"/>
          <w:jc w:val="center"/>
        </w:trPr>
        <w:tc>
          <w:tcPr>
            <w:tcW w:w="496" w:type="dxa"/>
            <w:vMerge w:val="restart"/>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4</w:t>
            </w:r>
          </w:p>
        </w:tc>
        <w:tc>
          <w:tcPr>
            <w:tcW w:w="1613" w:type="dxa"/>
            <w:vMerge w:val="restart"/>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独生子女</w:t>
            </w:r>
          </w:p>
          <w:p>
            <w:pPr>
              <w:widowControl/>
              <w:jc w:val="center"/>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rPr>
              <w:t>认定证明</w:t>
            </w:r>
          </w:p>
        </w:tc>
        <w:tc>
          <w:tcPr>
            <w:tcW w:w="3642" w:type="dxa"/>
            <w:vMerge w:val="restart"/>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rPr>
              <w:t>1.</w:t>
            </w:r>
            <w:r>
              <w:rPr>
                <w:rFonts w:hint="eastAsia" w:ascii="宋体" w:hAnsi="宋体" w:cs="仿宋"/>
                <w:color w:val="000000" w:themeColor="text1"/>
                <w:kern w:val="0"/>
                <w:sz w:val="18"/>
                <w:szCs w:val="18"/>
                <w:lang w:val="ru-RU"/>
              </w:rPr>
              <w:t>《吉林省人口与计划生育条例》第五十一条 夫妻决定终生只生（养）育一个子女的，由双方提出申请，经所在单位或者户籍地确认</w:t>
            </w:r>
          </w:p>
          <w:p>
            <w:pPr>
              <w:widowControl/>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2.</w:t>
            </w:r>
            <w:r>
              <w:rPr>
                <w:rFonts w:ascii="宋体" w:hAnsi="宋体" w:cs="仿宋"/>
                <w:color w:val="000000" w:themeColor="text1"/>
                <w:kern w:val="0"/>
                <w:sz w:val="18"/>
                <w:szCs w:val="18"/>
                <w:lang w:val="ru-RU"/>
              </w:rPr>
              <w:t>《中华人民共和国人口与计划生育法》第二十七条规定</w:t>
            </w:r>
            <w:r>
              <w:rPr>
                <w:rFonts w:hint="eastAsia" w:ascii="宋体" w:hAnsi="宋体" w:cs="仿宋"/>
                <w:color w:val="000000" w:themeColor="text1"/>
                <w:kern w:val="0"/>
                <w:sz w:val="18"/>
                <w:szCs w:val="18"/>
                <w:lang w:val="ru-RU"/>
              </w:rPr>
              <w:t>，</w:t>
            </w:r>
            <w:r>
              <w:rPr>
                <w:rFonts w:ascii="宋体" w:hAnsi="宋体" w:cs="仿宋"/>
                <w:color w:val="000000" w:themeColor="text1"/>
                <w:kern w:val="0"/>
                <w:sz w:val="18"/>
                <w:szCs w:val="18"/>
                <w:lang w:val="ru-RU"/>
              </w:rPr>
              <w:t>自愿终身只生育一个子女的夫妻，国家发给《独生子女父母光荣证》</w:t>
            </w:r>
          </w:p>
          <w:p>
            <w:pPr>
              <w:widowControl/>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3.吉林省计生委关于印发《城镇计划生育家庭独生子女父母退休后奖励政策实施办法的通知》 （吉计生委字〔2004〕22号）第一条第四款 《实施意见》施行前退休的独生子女父母，原所在单位已经破产</w:t>
            </w:r>
            <w:r>
              <w:rPr>
                <w:rFonts w:hint="eastAsia" w:ascii="宋体" w:hAnsi="宋体" w:cs="仿宋"/>
                <w:color w:val="000000" w:themeColor="text1"/>
                <w:kern w:val="0"/>
                <w:sz w:val="18"/>
                <w:szCs w:val="18"/>
              </w:rPr>
              <w:t>，纳入当地政府补发奖励费的，街道办事处（乡、镇人民政府）要与当地经贸部门核实；《实施意见》施行前已经“买断工龄”达到60周岁，并纳入当地政府补发奖励的，本人须持有原单位证明</w:t>
            </w:r>
          </w:p>
        </w:tc>
        <w:tc>
          <w:tcPr>
            <w:tcW w:w="572"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rPr>
              <w:t>1.用于办理《独生子女光荣证》</w:t>
            </w:r>
          </w:p>
        </w:tc>
        <w:tc>
          <w:tcPr>
            <w:tcW w:w="196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lang w:val="ru-RU"/>
              </w:rPr>
            </w:pPr>
            <w:r>
              <w:rPr>
                <w:rFonts w:hint="eastAsia" w:ascii="宋体" w:hAnsi="宋体"/>
                <w:color w:val="000000" w:themeColor="text1"/>
                <w:sz w:val="18"/>
                <w:szCs w:val="18"/>
                <w:lang w:val="ru-RU"/>
              </w:rPr>
              <w:t>所在单位、村委会、居委会、</w:t>
            </w:r>
            <w:r>
              <w:rPr>
                <w:rFonts w:hint="eastAsia" w:ascii="宋体" w:hAnsi="宋体" w:cs="仿宋"/>
                <w:color w:val="000000" w:themeColor="text1"/>
                <w:kern w:val="0"/>
                <w:sz w:val="18"/>
                <w:szCs w:val="18"/>
              </w:rPr>
              <w:t>所在单位、</w:t>
            </w:r>
          </w:p>
        </w:tc>
        <w:tc>
          <w:tcPr>
            <w:tcW w:w="121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rPr>
              <w:t>各乡镇政府、街道办事处</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10" w:hRule="atLeast"/>
          <w:jc w:val="center"/>
        </w:trPr>
        <w:tc>
          <w:tcPr>
            <w:tcW w:w="496" w:type="dxa"/>
            <w:vMerge w:val="continue"/>
            <w:tcBorders>
              <w:tl2br w:val="nil"/>
              <w:tr2bl w:val="nil"/>
            </w:tcBorders>
            <w:tcMar>
              <w:left w:w="85" w:type="dxa"/>
              <w:right w:w="85" w:type="dxa"/>
            </w:tcMar>
            <w:vAlign w:val="center"/>
          </w:tcPr>
          <w:p>
            <w:pPr>
              <w:widowControl/>
              <w:jc w:val="center"/>
              <w:rPr>
                <w:rFonts w:ascii="宋体" w:hAnsi="宋体" w:cs="宋体"/>
                <w:color w:val="000000" w:themeColor="text1"/>
                <w:kern w:val="0"/>
                <w:sz w:val="18"/>
                <w:szCs w:val="18"/>
              </w:rPr>
            </w:pPr>
          </w:p>
        </w:tc>
        <w:tc>
          <w:tcPr>
            <w:tcW w:w="1613" w:type="dxa"/>
            <w:vMerge w:val="continue"/>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p>
        </w:tc>
        <w:tc>
          <w:tcPr>
            <w:tcW w:w="3642" w:type="dxa"/>
            <w:vMerge w:val="continue"/>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p>
        </w:tc>
        <w:tc>
          <w:tcPr>
            <w:tcW w:w="572"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2.</w:t>
            </w:r>
            <w:r>
              <w:rPr>
                <w:rFonts w:hint="eastAsia" w:ascii="宋体" w:hAnsi="宋体" w:cs="仿宋"/>
                <w:color w:val="000000" w:themeColor="text1"/>
                <w:kern w:val="0"/>
                <w:sz w:val="18"/>
                <w:szCs w:val="18"/>
                <w:lang w:val="ru-RU"/>
              </w:rPr>
              <w:t>用于办理兑现城镇计划生育家庭独生子女父母退休奖励费</w:t>
            </w:r>
          </w:p>
        </w:tc>
        <w:tc>
          <w:tcPr>
            <w:tcW w:w="1969" w:type="dxa"/>
            <w:tcBorders>
              <w:tl2br w:val="nil"/>
              <w:tr2bl w:val="nil"/>
            </w:tcBorders>
            <w:tcMar>
              <w:left w:w="85" w:type="dxa"/>
              <w:right w:w="85" w:type="dxa"/>
            </w:tcMar>
            <w:vAlign w:val="center"/>
          </w:tcPr>
          <w:p>
            <w:pPr>
              <w:widowControl/>
              <w:textAlignment w:val="center"/>
              <w:rPr>
                <w:rFonts w:ascii="宋体" w:hAnsi="宋体"/>
                <w:color w:val="000000" w:themeColor="text1"/>
                <w:sz w:val="18"/>
                <w:szCs w:val="18"/>
                <w:lang w:val="ru-RU"/>
              </w:rPr>
            </w:pPr>
            <w:r>
              <w:rPr>
                <w:rFonts w:hint="eastAsia" w:ascii="宋体" w:hAnsi="宋体" w:cs="仿宋"/>
                <w:color w:val="000000" w:themeColor="text1"/>
                <w:kern w:val="0"/>
                <w:sz w:val="18"/>
                <w:szCs w:val="18"/>
              </w:rPr>
              <w:t>原单位</w:t>
            </w:r>
          </w:p>
        </w:tc>
        <w:tc>
          <w:tcPr>
            <w:tcW w:w="121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各乡镇政府、街道办事处</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28"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5</w:t>
            </w:r>
          </w:p>
        </w:tc>
        <w:tc>
          <w:tcPr>
            <w:tcW w:w="1613"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宋体"/>
                <w:color w:val="000000" w:themeColor="text1"/>
                <w:kern w:val="0"/>
                <w:sz w:val="18"/>
                <w:szCs w:val="18"/>
              </w:rPr>
              <w:t>存档流动人员人事档案证明</w:t>
            </w:r>
          </w:p>
        </w:tc>
        <w:tc>
          <w:tcPr>
            <w:tcW w:w="3642" w:type="dxa"/>
            <w:tcBorders>
              <w:tl2br w:val="nil"/>
              <w:tr2bl w:val="nil"/>
            </w:tcBorders>
            <w:tcMar>
              <w:left w:w="85" w:type="dxa"/>
              <w:right w:w="85" w:type="dxa"/>
            </w:tcMar>
            <w:vAlign w:val="center"/>
          </w:tcPr>
          <w:p>
            <w:pPr>
              <w:widowControl/>
              <w:jc w:val="left"/>
              <w:outlineLvl w:val="1"/>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 xml:space="preserve">《中共中央组织部 人力资源社会保障部等五部门关于进一步加强流动人员人事档案管理服务工作的通知》（人社部发〔2014〕90号） </w:t>
            </w:r>
            <w:r>
              <w:rPr>
                <w:rFonts w:ascii="宋体" w:hAnsi="宋体" w:cs="仿宋"/>
                <w:color w:val="000000" w:themeColor="text1"/>
                <w:kern w:val="0"/>
                <w:sz w:val="18"/>
                <w:szCs w:val="18"/>
                <w:lang w:val="ru-RU"/>
              </w:rPr>
              <w:t>三、加强流动人员人事档案基本公共服务。流动人员人事档案管理服务是基本公共就业和人才服务的重要内容。流动人员人事档案基本公共服务应当包括：档案的接收和转递;档案材料的收集、鉴别和归档;档案的整理和保管;为符合相关规定的单位提供档案查(借)阅服务;依据档案记载出具存档、经历、亲属关系等相关证明;为相关单位提供入党、参军、录用、出国(境)等政审(考察)服务</w:t>
            </w:r>
          </w:p>
        </w:tc>
        <w:tc>
          <w:tcPr>
            <w:tcW w:w="572"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用于流动人员就业、入学、提干、参军，证明其档案记载内容的实际情况</w:t>
            </w:r>
          </w:p>
        </w:tc>
        <w:tc>
          <w:tcPr>
            <w:tcW w:w="196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市人社局（人才中心）</w:t>
            </w:r>
          </w:p>
        </w:tc>
        <w:tc>
          <w:tcPr>
            <w:tcW w:w="121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行政机关、兵役机关、事业单位、国有企业、集体企业</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88" w:hRule="atLeast"/>
          <w:jc w:val="center"/>
        </w:trPr>
        <w:tc>
          <w:tcPr>
            <w:tcW w:w="496" w:type="dxa"/>
            <w:tcBorders>
              <w:tl2br w:val="nil"/>
              <w:tr2bl w:val="nil"/>
            </w:tcBorders>
            <w:tcMar>
              <w:left w:w="85" w:type="dxa"/>
              <w:right w:w="85" w:type="dxa"/>
            </w:tcMar>
            <w:vAlign w:val="center"/>
          </w:tcPr>
          <w:p>
            <w:pPr>
              <w:widowControl/>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6</w:t>
            </w:r>
            <w:r>
              <w:rPr>
                <w:rFonts w:hint="eastAsia" w:ascii="宋体" w:hAnsi="宋体" w:cs="宋体"/>
                <w:color w:val="000000" w:themeColor="text1"/>
                <w:kern w:val="0"/>
                <w:sz w:val="18"/>
                <w:szCs w:val="18"/>
                <w:lang w:val="en-US" w:eastAsia="zh-CN"/>
              </w:rPr>
              <w:t>6</w:t>
            </w:r>
          </w:p>
        </w:tc>
        <w:tc>
          <w:tcPr>
            <w:tcW w:w="1613" w:type="dxa"/>
            <w:tcBorders>
              <w:tl2br w:val="nil"/>
              <w:tr2bl w:val="nil"/>
            </w:tcBorders>
            <w:tcMar>
              <w:left w:w="85" w:type="dxa"/>
              <w:right w:w="85" w:type="dxa"/>
            </w:tcMar>
            <w:vAlign w:val="center"/>
          </w:tcPr>
          <w:p>
            <w:pPr>
              <w:widowControl/>
              <w:jc w:val="center"/>
              <w:textAlignment w:val="center"/>
              <w:rPr>
                <w:rFonts w:ascii="宋体" w:hAnsi="宋体" w:cs="宋体"/>
                <w:color w:val="000000" w:themeColor="text1"/>
                <w:kern w:val="0"/>
                <w:sz w:val="18"/>
                <w:szCs w:val="18"/>
              </w:rPr>
            </w:pPr>
            <w:r>
              <w:rPr>
                <w:rFonts w:hint="eastAsia" w:ascii="宋体" w:hAnsi="宋体" w:cs="仿宋"/>
                <w:color w:val="000000" w:themeColor="text1"/>
                <w:kern w:val="0"/>
                <w:sz w:val="18"/>
                <w:szCs w:val="18"/>
                <w:lang w:val="ru-RU"/>
              </w:rPr>
              <w:t>预备役人员、民兵、民工等人员参战、参加军事演习、军事训练和执行军事勤务致残的证明</w:t>
            </w:r>
          </w:p>
        </w:tc>
        <w:tc>
          <w:tcPr>
            <w:tcW w:w="3642" w:type="dxa"/>
            <w:tcBorders>
              <w:tl2br w:val="nil"/>
              <w:tr2bl w:val="nil"/>
            </w:tcBorders>
            <w:tcMar>
              <w:left w:w="85" w:type="dxa"/>
              <w:right w:w="85" w:type="dxa"/>
            </w:tcMar>
            <w:vAlign w:val="center"/>
          </w:tcPr>
          <w:p>
            <w:pPr>
              <w:widowControl/>
              <w:jc w:val="left"/>
              <w:outlineLvl w:val="1"/>
              <w:rPr>
                <w:rFonts w:ascii="宋体" w:hAnsi="宋体" w:cs="仿宋"/>
                <w:color w:val="000000" w:themeColor="text1"/>
                <w:kern w:val="0"/>
                <w:sz w:val="18"/>
                <w:szCs w:val="18"/>
                <w:lang w:val="ru-RU"/>
              </w:rPr>
            </w:pPr>
            <w:r>
              <w:rPr>
                <w:rFonts w:hint="eastAsia" w:ascii="宋体" w:hAnsi="宋体" w:cs="仿宋"/>
                <w:color w:val="000000" w:themeColor="text1"/>
                <w:kern w:val="0"/>
                <w:sz w:val="18"/>
                <w:szCs w:val="18"/>
                <w:lang w:val="ru-RU"/>
              </w:rPr>
              <w:t>吉林省民政厅关于印发《吉林省伤残抚恤管理实施细则》的通知(吉民发〔2017〕60号)第八条 申请新办评定残疾等级应提交下列材料：（八）参战、参加军事演习、军事训练和执行军事勤务致残的预备役人员、民兵、民工等人员，须有负责组织指挥的部队团以上单位政治机关出具的证明</w:t>
            </w:r>
          </w:p>
        </w:tc>
        <w:tc>
          <w:tcPr>
            <w:tcW w:w="572" w:type="dxa"/>
            <w:tcBorders>
              <w:tl2br w:val="nil"/>
              <w:tr2bl w:val="nil"/>
            </w:tcBorders>
            <w:tcMar>
              <w:left w:w="85" w:type="dxa"/>
              <w:right w:w="85" w:type="dxa"/>
            </w:tcMar>
            <w:vAlign w:val="center"/>
          </w:tcPr>
          <w:p>
            <w:pPr>
              <w:widowControl/>
              <w:jc w:val="center"/>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规定依据</w:t>
            </w:r>
          </w:p>
        </w:tc>
        <w:tc>
          <w:tcPr>
            <w:tcW w:w="243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宋体"/>
                <w:color w:val="000000" w:themeColor="text1"/>
                <w:kern w:val="0"/>
                <w:sz w:val="18"/>
                <w:szCs w:val="18"/>
              </w:rPr>
              <w:t>用于因战因公因病致残新评残疾等级的审查与报批，证明其是因参加军事演习、军事演习、军事训练和执行军事勤务而致残</w:t>
            </w:r>
          </w:p>
        </w:tc>
        <w:tc>
          <w:tcPr>
            <w:tcW w:w="196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参战、参加</w:t>
            </w:r>
            <w:r>
              <w:rPr>
                <w:rFonts w:hint="eastAsia" w:ascii="宋体" w:hAnsi="宋体" w:cs="仿宋"/>
                <w:color w:val="000000" w:themeColor="text1"/>
                <w:kern w:val="0"/>
                <w:sz w:val="18"/>
                <w:szCs w:val="18"/>
                <w:lang w:val="ru-RU"/>
              </w:rPr>
              <w:t>军事演习、军事训练和执行军事勤务负伤时所在负责组织指挥的部队团以上单位政治机关</w:t>
            </w:r>
          </w:p>
        </w:tc>
        <w:tc>
          <w:tcPr>
            <w:tcW w:w="1219" w:type="dxa"/>
            <w:tcBorders>
              <w:tl2br w:val="nil"/>
              <w:tr2bl w:val="nil"/>
            </w:tcBorders>
            <w:tcMar>
              <w:left w:w="85" w:type="dxa"/>
              <w:right w:w="85" w:type="dxa"/>
            </w:tcMar>
            <w:vAlign w:val="center"/>
          </w:tcPr>
          <w:p>
            <w:pPr>
              <w:widowControl/>
              <w:textAlignment w:val="center"/>
              <w:rPr>
                <w:rFonts w:ascii="宋体" w:hAnsi="宋体" w:cs="仿宋"/>
                <w:color w:val="000000" w:themeColor="text1"/>
                <w:kern w:val="0"/>
                <w:sz w:val="18"/>
                <w:szCs w:val="18"/>
              </w:rPr>
            </w:pPr>
            <w:r>
              <w:rPr>
                <w:rFonts w:hint="eastAsia" w:ascii="宋体" w:hAnsi="宋体" w:cs="仿宋"/>
                <w:color w:val="000000" w:themeColor="text1"/>
                <w:kern w:val="0"/>
                <w:sz w:val="18"/>
                <w:szCs w:val="18"/>
              </w:rPr>
              <w:t>各县（市）区、开发区民政局</w:t>
            </w:r>
          </w:p>
        </w:tc>
        <w:tc>
          <w:tcPr>
            <w:tcW w:w="1527" w:type="dxa"/>
            <w:tcBorders>
              <w:tl2br w:val="nil"/>
              <w:tr2bl w:val="nil"/>
            </w:tcBorders>
            <w:tcMar>
              <w:left w:w="85" w:type="dxa"/>
              <w:right w:w="85" w:type="dxa"/>
            </w:tcMar>
            <w:vAlign w:val="center"/>
          </w:tcPr>
          <w:p>
            <w:pPr>
              <w:rPr>
                <w:rFonts w:ascii="宋体" w:hAnsi="宋体" w:cs="Arial"/>
                <w:color w:val="000000" w:themeColor="text1"/>
                <w:kern w:val="0"/>
                <w:sz w:val="18"/>
                <w:szCs w:val="18"/>
              </w:rPr>
            </w:pPr>
          </w:p>
        </w:tc>
      </w:tr>
    </w:tbl>
    <w:p>
      <w:pPr>
        <w:ind w:firstLine="352" w:firstLineChars="196"/>
        <w:rPr>
          <w:rFonts w:ascii="方正黑体简体" w:hAnsi="方正黑体简体" w:eastAsia="方正黑体简体" w:cs="方正黑体简体"/>
          <w:bCs/>
          <w:color w:val="000000" w:themeColor="text1"/>
          <w:kern w:val="0"/>
          <w:sz w:val="18"/>
          <w:szCs w:val="18"/>
        </w:rPr>
      </w:pPr>
      <w:r>
        <w:rPr>
          <w:rFonts w:hint="eastAsia" w:ascii="方正黑体简体" w:hAnsi="方正黑体简体" w:eastAsia="方正黑体简体" w:cs="方正黑体简体"/>
          <w:bCs/>
          <w:color w:val="000000" w:themeColor="text1"/>
          <w:kern w:val="0"/>
          <w:sz w:val="18"/>
          <w:szCs w:val="18"/>
        </w:rPr>
        <w:t>说明：</w:t>
      </w:r>
    </w:p>
    <w:p>
      <w:pPr>
        <w:ind w:firstLine="352" w:firstLineChars="196"/>
        <w:rPr>
          <w:rFonts w:ascii="宋体" w:hAnsi="宋体"/>
          <w:color w:val="000000" w:themeColor="text1"/>
          <w:kern w:val="0"/>
          <w:sz w:val="18"/>
          <w:szCs w:val="18"/>
        </w:rPr>
      </w:pPr>
      <w:r>
        <w:rPr>
          <w:rFonts w:hint="eastAsia" w:ascii="宋体" w:hAnsi="宋体"/>
          <w:color w:val="000000" w:themeColor="text1"/>
          <w:kern w:val="0"/>
          <w:sz w:val="18"/>
          <w:szCs w:val="18"/>
        </w:rPr>
        <w:t>一、本清单所列证明事项，不仅包括普通证明事项，还包括带有证明性质的盖章环节。</w:t>
      </w:r>
    </w:p>
    <w:p>
      <w:pPr>
        <w:spacing w:line="300" w:lineRule="exact"/>
        <w:ind w:firstLine="352" w:firstLineChars="196"/>
        <w:rPr>
          <w:rFonts w:ascii="宋体" w:hAnsi="宋体"/>
          <w:color w:val="000000" w:themeColor="text1"/>
          <w:kern w:val="0"/>
          <w:sz w:val="18"/>
          <w:szCs w:val="18"/>
        </w:rPr>
      </w:pPr>
      <w:r>
        <w:rPr>
          <w:rFonts w:hint="eastAsia" w:ascii="宋体" w:hAnsi="宋体"/>
          <w:color w:val="000000" w:themeColor="text1"/>
          <w:kern w:val="0"/>
          <w:sz w:val="18"/>
          <w:szCs w:val="18"/>
        </w:rPr>
        <w:t>二、本清单所称的“规定依据”是指明确规定需要证明，且明确了证明供给端单位（又称开具单位，以下简称供给端单位）的法律、法规和政策规定。本清单所称的“推定依据”是指明确规定需要开具证明，但没有规定供给端单位的法律、法规和政策规定。只有规定依据和推定依据，才能作为证明事项设置和保留的依据。法律、法规和政策指法律、法规、规章，立法解释、司法解释，上级规范性文件，以及党内法规。</w:t>
      </w:r>
    </w:p>
    <w:p>
      <w:pPr>
        <w:shd w:val="clear" w:color="auto" w:fill="FFFFFF"/>
        <w:spacing w:line="300" w:lineRule="exact"/>
        <w:ind w:firstLine="352" w:firstLineChars="196"/>
        <w:jc w:val="left"/>
        <w:rPr>
          <w:rFonts w:ascii="宋体" w:hAnsi="宋体"/>
          <w:color w:val="000000" w:themeColor="text1"/>
          <w:kern w:val="0"/>
          <w:sz w:val="18"/>
          <w:szCs w:val="18"/>
        </w:rPr>
      </w:pPr>
      <w:r>
        <w:rPr>
          <w:rFonts w:hint="eastAsia" w:ascii="宋体" w:hAnsi="宋体"/>
          <w:color w:val="000000" w:themeColor="text1"/>
          <w:kern w:val="0"/>
          <w:sz w:val="18"/>
          <w:szCs w:val="18"/>
        </w:rPr>
        <w:t>三、未列入本清单的证明事项应予以取消或改变管理方式。吉林市内任何单位和个人不得要求群众跑腿办理本清单以外的证明。虽有依据但未列入本清单的证明事项，或本单位不是清单内证明事项的需求端单位（又称索要单位，以下简称需求端单位）的证明事项，相关单位确有需要的，应采取公对公核查、数据共享等方式替代办事群众跑证明。虽有依据且有必要但未列入本清单的证明事项主要有：无犯罪记录（证明）、土地证明、收入证明等。</w:t>
      </w:r>
    </w:p>
    <w:p>
      <w:pPr>
        <w:shd w:val="clear" w:color="auto" w:fill="FFFFFF"/>
        <w:spacing w:line="300" w:lineRule="exact"/>
        <w:ind w:firstLine="352" w:firstLineChars="196"/>
        <w:jc w:val="left"/>
        <w:rPr>
          <w:rFonts w:ascii="宋体" w:hAnsi="宋体"/>
          <w:color w:val="000000" w:themeColor="text1"/>
          <w:kern w:val="0"/>
          <w:sz w:val="18"/>
          <w:szCs w:val="18"/>
        </w:rPr>
      </w:pPr>
      <w:r>
        <w:rPr>
          <w:rFonts w:hint="eastAsia" w:ascii="宋体" w:hAnsi="宋体"/>
          <w:color w:val="000000" w:themeColor="text1"/>
          <w:kern w:val="0"/>
          <w:sz w:val="18"/>
          <w:szCs w:val="18"/>
        </w:rPr>
        <w:t>认为本单位未列入本清单的证明事项确有依据、有必要且目前仍需由群众跑腿办理的应按照证明事项清理规范工作的规定进行申报，经严格审查和依法确认后列入本清单。</w:t>
      </w:r>
    </w:p>
    <w:p>
      <w:pPr>
        <w:shd w:val="clear" w:color="auto" w:fill="FFFFFF"/>
        <w:spacing w:line="300" w:lineRule="exact"/>
        <w:ind w:firstLine="352" w:firstLineChars="196"/>
        <w:jc w:val="left"/>
        <w:rPr>
          <w:rFonts w:ascii="宋体" w:hAnsi="宋体"/>
          <w:color w:val="000000" w:themeColor="text1"/>
          <w:kern w:val="0"/>
          <w:sz w:val="18"/>
          <w:szCs w:val="18"/>
        </w:rPr>
      </w:pPr>
      <w:r>
        <w:rPr>
          <w:rFonts w:hint="eastAsia" w:ascii="宋体" w:hAnsi="宋体"/>
          <w:color w:val="000000" w:themeColor="text1"/>
          <w:kern w:val="0"/>
          <w:sz w:val="18"/>
          <w:szCs w:val="18"/>
        </w:rPr>
        <w:t>四、根据证明事项需求端管控有关要求，全市党政机关、公共企事业单位及其他组织均应遵照本清单规定，做好证明工作。市内证明需求端单位和供给端单位均应按照清单的事项、用途和范围规定索要或开具证明。</w:t>
      </w:r>
    </w:p>
    <w:p>
      <w:pPr>
        <w:shd w:val="clear" w:color="auto" w:fill="FFFFFF"/>
        <w:spacing w:line="300" w:lineRule="exact"/>
        <w:ind w:firstLine="352" w:firstLineChars="196"/>
        <w:jc w:val="left"/>
        <w:rPr>
          <w:rFonts w:ascii="宋体" w:hAnsi="宋体"/>
          <w:color w:val="000000" w:themeColor="text1"/>
          <w:kern w:val="0"/>
          <w:sz w:val="18"/>
          <w:szCs w:val="18"/>
        </w:rPr>
      </w:pPr>
      <w:r>
        <w:rPr>
          <w:rFonts w:hint="eastAsia" w:ascii="宋体" w:hAnsi="宋体"/>
          <w:color w:val="000000" w:themeColor="text1"/>
          <w:kern w:val="0"/>
          <w:sz w:val="18"/>
          <w:szCs w:val="18"/>
        </w:rPr>
        <w:t>五、对吉林市外需求的不在本清单中的证明，即使其合法性、合理性不够充分，相关单位也应以维护群众利益、方便群众办事为出发点，尽可能予以开具。</w:t>
      </w:r>
    </w:p>
    <w:p>
      <w:pPr>
        <w:shd w:val="clear" w:color="auto" w:fill="FFFFFF"/>
        <w:spacing w:line="300" w:lineRule="exact"/>
        <w:ind w:firstLine="352" w:firstLineChars="196"/>
        <w:jc w:val="left"/>
        <w:rPr>
          <w:rFonts w:ascii="宋体" w:hAnsi="宋体"/>
          <w:color w:val="000000" w:themeColor="text1"/>
          <w:kern w:val="0"/>
          <w:sz w:val="18"/>
          <w:szCs w:val="18"/>
        </w:rPr>
      </w:pPr>
      <w:r>
        <w:rPr>
          <w:rFonts w:hint="eastAsia" w:ascii="宋体" w:hAnsi="宋体"/>
          <w:color w:val="000000" w:themeColor="text1"/>
          <w:kern w:val="0"/>
          <w:sz w:val="18"/>
          <w:szCs w:val="18"/>
        </w:rPr>
        <w:t>六、以下证照、文件、凭据或资料等非证明类材料不视作证明，需求端单位确有必要、符合法律法规和政策规定且经有关机构确认的，可以继续要求申请人提供：</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1</w:t>
      </w:r>
      <w:r>
        <w:rPr>
          <w:rFonts w:ascii="宋体" w:hAnsi="宋体"/>
          <w:color w:val="000000" w:themeColor="text1"/>
          <w:kern w:val="0"/>
          <w:sz w:val="18"/>
          <w:szCs w:val="18"/>
        </w:rPr>
        <w:t>.</w:t>
      </w:r>
      <w:r>
        <w:rPr>
          <w:rFonts w:hint="eastAsia" w:ascii="宋体" w:hAnsi="宋体"/>
          <w:color w:val="000000" w:themeColor="text1"/>
          <w:kern w:val="0"/>
          <w:sz w:val="18"/>
          <w:szCs w:val="18"/>
        </w:rPr>
        <w:t>身份证、户口本、学生证、出生证、低保证、房产证、编制证、社会信用代码证、营业执照、执业证书等制式证照（即证件和执照）；</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2</w:t>
      </w:r>
      <w:r>
        <w:rPr>
          <w:rFonts w:ascii="宋体" w:hAnsi="宋体"/>
          <w:color w:val="000000" w:themeColor="text1"/>
          <w:kern w:val="0"/>
          <w:sz w:val="18"/>
          <w:szCs w:val="18"/>
        </w:rPr>
        <w:t>.</w:t>
      </w:r>
      <w:r>
        <w:rPr>
          <w:rFonts w:hint="eastAsia" w:ascii="宋体" w:hAnsi="宋体"/>
          <w:color w:val="000000" w:themeColor="text1"/>
          <w:kern w:val="0"/>
          <w:sz w:val="18"/>
          <w:szCs w:val="18"/>
        </w:rPr>
        <w:t>单位主动出具的介绍信、通知单及其他制式或非制式函件，如单位介绍信、党员组织关系介绍信、调档函、查阅函、借阅函、报到证等；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3</w:t>
      </w:r>
      <w:r>
        <w:rPr>
          <w:rFonts w:ascii="宋体" w:hAnsi="宋体"/>
          <w:color w:val="000000" w:themeColor="text1"/>
          <w:kern w:val="0"/>
          <w:sz w:val="18"/>
          <w:szCs w:val="18"/>
        </w:rPr>
        <w:t>.</w:t>
      </w:r>
      <w:r>
        <w:rPr>
          <w:rFonts w:hint="eastAsia" w:ascii="宋体" w:hAnsi="宋体"/>
          <w:color w:val="000000" w:themeColor="text1"/>
          <w:kern w:val="0"/>
          <w:sz w:val="18"/>
          <w:szCs w:val="18"/>
        </w:rPr>
        <w:t>单位在（有偿）服务过程中有义务提供的各类凭证、记录、票据等，如回执、申领补贴凭证、发票、单据、医疗记录（诊断书）、鉴定书等；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4</w:t>
      </w:r>
      <w:r>
        <w:rPr>
          <w:rFonts w:ascii="宋体" w:hAnsi="宋体"/>
          <w:color w:val="000000" w:themeColor="text1"/>
          <w:kern w:val="0"/>
          <w:sz w:val="18"/>
          <w:szCs w:val="18"/>
        </w:rPr>
        <w:t>.</w:t>
      </w:r>
      <w:r>
        <w:rPr>
          <w:rFonts w:hint="eastAsia" w:ascii="宋体" w:hAnsi="宋体"/>
          <w:color w:val="000000" w:themeColor="text1"/>
          <w:kern w:val="0"/>
          <w:sz w:val="18"/>
          <w:szCs w:val="18"/>
        </w:rPr>
        <w:t>因印章、证照、文件、票据、卡折等信息记录载体丢失，对丢失情况及其本身相关内容作出的证明；</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5.法律法规和政策规定应予办理的事项，经办理后相关部门（单位）应予出具的证明文件，如清税（完税、免税）证明、中小学教师资格考试合格证明等；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6.档案材料及办事人所在单位出具的相关证明材料，如人事档案材料、工作经历证明（材料）、收入等；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7</w:t>
      </w:r>
      <w:r>
        <w:rPr>
          <w:rFonts w:ascii="宋体" w:hAnsi="宋体"/>
          <w:color w:val="000000" w:themeColor="text1"/>
          <w:kern w:val="0"/>
          <w:sz w:val="18"/>
          <w:szCs w:val="18"/>
        </w:rPr>
        <w:t>.</w:t>
      </w:r>
      <w:r>
        <w:rPr>
          <w:rFonts w:hint="eastAsia" w:ascii="宋体" w:hAnsi="宋体"/>
          <w:color w:val="000000" w:themeColor="text1"/>
          <w:kern w:val="0"/>
          <w:sz w:val="18"/>
          <w:szCs w:val="18"/>
        </w:rPr>
        <w:t>个人或单位签署的对特定事项真实性的承诺书、保证书或证明材料；</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8</w:t>
      </w:r>
      <w:r>
        <w:rPr>
          <w:rFonts w:ascii="宋体" w:hAnsi="宋体"/>
          <w:color w:val="000000" w:themeColor="text1"/>
          <w:kern w:val="0"/>
          <w:sz w:val="18"/>
          <w:szCs w:val="18"/>
        </w:rPr>
        <w:t>.</w:t>
      </w:r>
      <w:r>
        <w:rPr>
          <w:rFonts w:hint="eastAsia" w:ascii="宋体" w:hAnsi="宋体"/>
          <w:color w:val="000000" w:themeColor="text1"/>
          <w:kern w:val="0"/>
          <w:sz w:val="18"/>
          <w:szCs w:val="18"/>
        </w:rPr>
        <w:t>法律法规和政策规定的应由第三方机构出具的具有评估、评价、验证性质的专项报告或证明材料，如验资报告（证明）、环评报告、2002年以前毕业的学历认证等；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9.用于诉讼、复议、仲裁、公证、评定等特定目的的一般性（事发）现场证人证言材料；</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10.各类法律文书，如法院裁定文书、仲裁文书、公证文书、行政处罚文书、继承文书及其他具有法律效力的文书等；</w:t>
      </w:r>
      <w:r>
        <w:rPr>
          <w:rFonts w:ascii="宋体" w:hAnsi="宋体"/>
          <w:color w:val="000000" w:themeColor="text1"/>
          <w:kern w:val="0"/>
          <w:sz w:val="18"/>
          <w:szCs w:val="18"/>
        </w:rPr>
        <w:t xml:space="preserve"> </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11</w:t>
      </w:r>
      <w:r>
        <w:rPr>
          <w:rFonts w:ascii="宋体" w:hAnsi="宋体"/>
          <w:color w:val="000000" w:themeColor="text1"/>
          <w:kern w:val="0"/>
          <w:sz w:val="18"/>
          <w:szCs w:val="18"/>
        </w:rPr>
        <w:t>.</w:t>
      </w:r>
      <w:r>
        <w:rPr>
          <w:rFonts w:hint="eastAsia" w:ascii="宋体" w:hAnsi="宋体"/>
          <w:color w:val="000000" w:themeColor="text1"/>
          <w:kern w:val="0"/>
          <w:sz w:val="18"/>
          <w:szCs w:val="18"/>
        </w:rPr>
        <w:t>有权机关在批准、批复、登记、备案等行权过程中自然产生的相关文件，如股权划转文件、选址意见批复、申请表、审批表、批准书等；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12</w:t>
      </w:r>
      <w:r>
        <w:rPr>
          <w:rFonts w:ascii="宋体" w:hAnsi="宋体"/>
          <w:color w:val="000000" w:themeColor="text1"/>
          <w:kern w:val="0"/>
          <w:sz w:val="18"/>
          <w:szCs w:val="18"/>
        </w:rPr>
        <w:t>.</w:t>
      </w:r>
      <w:r>
        <w:rPr>
          <w:rFonts w:hint="eastAsia" w:ascii="宋体" w:hAnsi="宋体"/>
          <w:color w:val="000000" w:themeColor="text1"/>
          <w:kern w:val="0"/>
          <w:sz w:val="18"/>
          <w:szCs w:val="18"/>
        </w:rPr>
        <w:t>相关部门或单位在履职、管理、服务中自然形成的文件与资料，如行政机关工作通知、企业员工培训方案、公司年报、会议决议等；</w:t>
      </w:r>
    </w:p>
    <w:p>
      <w:pPr>
        <w:spacing w:line="300" w:lineRule="exact"/>
        <w:ind w:firstLine="360" w:firstLineChars="200"/>
        <w:rPr>
          <w:rFonts w:ascii="宋体" w:hAnsi="宋体"/>
          <w:color w:val="000000" w:themeColor="text1"/>
          <w:kern w:val="0"/>
          <w:sz w:val="18"/>
          <w:szCs w:val="18"/>
        </w:rPr>
      </w:pPr>
      <w:r>
        <w:rPr>
          <w:rFonts w:hint="eastAsia" w:ascii="宋体" w:hAnsi="宋体"/>
          <w:color w:val="000000" w:themeColor="text1"/>
          <w:kern w:val="0"/>
          <w:sz w:val="18"/>
          <w:szCs w:val="18"/>
        </w:rPr>
        <w:t>13</w:t>
      </w:r>
      <w:r>
        <w:rPr>
          <w:rFonts w:ascii="宋体" w:hAnsi="宋体"/>
          <w:color w:val="000000" w:themeColor="text1"/>
          <w:kern w:val="0"/>
          <w:sz w:val="18"/>
          <w:szCs w:val="18"/>
        </w:rPr>
        <w:t>.</w:t>
      </w:r>
      <w:r>
        <w:rPr>
          <w:rFonts w:hint="eastAsia" w:ascii="宋体" w:hAnsi="宋体"/>
          <w:color w:val="000000" w:themeColor="text1"/>
          <w:kern w:val="0"/>
          <w:sz w:val="18"/>
          <w:szCs w:val="18"/>
        </w:rPr>
        <w:t>依据法律法规和政策规定，申请人（应）在相关载体公开发布的公告、声明，公示等；</w:t>
      </w:r>
    </w:p>
    <w:p>
      <w:pPr>
        <w:spacing w:line="300" w:lineRule="exact"/>
        <w:ind w:firstLine="360" w:firstLineChars="200"/>
        <w:rPr>
          <w:rFonts w:ascii="宋体" w:hAnsi="宋体"/>
          <w:color w:val="000000" w:themeColor="text1"/>
          <w:kern w:val="0"/>
          <w:sz w:val="18"/>
          <w:szCs w:val="18"/>
        </w:rPr>
      </w:pPr>
      <w:r>
        <w:rPr>
          <w:rFonts w:ascii="宋体" w:hAnsi="宋体"/>
          <w:color w:val="000000" w:themeColor="text1"/>
          <w:kern w:val="0"/>
          <w:sz w:val="18"/>
          <w:szCs w:val="18"/>
        </w:rPr>
        <w:t>1</w:t>
      </w:r>
      <w:r>
        <w:rPr>
          <w:rFonts w:hint="eastAsia" w:ascii="宋体" w:hAnsi="宋体"/>
          <w:color w:val="000000" w:themeColor="text1"/>
          <w:kern w:val="0"/>
          <w:sz w:val="18"/>
          <w:szCs w:val="18"/>
        </w:rPr>
        <w:t>4</w:t>
      </w:r>
      <w:r>
        <w:rPr>
          <w:rFonts w:ascii="宋体" w:hAnsi="宋体"/>
          <w:color w:val="000000" w:themeColor="text1"/>
          <w:kern w:val="0"/>
          <w:sz w:val="18"/>
          <w:szCs w:val="18"/>
        </w:rPr>
        <w:t>.</w:t>
      </w:r>
      <w:r>
        <w:rPr>
          <w:rFonts w:hint="eastAsia" w:ascii="宋体" w:hAnsi="宋体"/>
          <w:color w:val="000000" w:themeColor="text1"/>
          <w:kern w:val="0"/>
          <w:sz w:val="18"/>
          <w:szCs w:val="18"/>
        </w:rPr>
        <w:t>各类主体签署的合同、协议等，如劳动合同、经济合同、行政合同、租赁协议、购房协议等；</w:t>
      </w:r>
    </w:p>
    <w:p>
      <w:pPr>
        <w:spacing w:line="300" w:lineRule="exact"/>
        <w:ind w:firstLine="360" w:firstLineChars="200"/>
        <w:rPr>
          <w:rFonts w:ascii="宋体" w:hAnsi="宋体"/>
          <w:color w:val="000000" w:themeColor="text1"/>
          <w:kern w:val="0"/>
          <w:sz w:val="18"/>
          <w:szCs w:val="18"/>
        </w:rPr>
      </w:pPr>
      <w:r>
        <w:rPr>
          <w:rFonts w:ascii="宋体" w:hAnsi="宋体"/>
          <w:color w:val="000000" w:themeColor="text1"/>
          <w:kern w:val="0"/>
          <w:sz w:val="18"/>
          <w:szCs w:val="18"/>
        </w:rPr>
        <w:t>1</w:t>
      </w:r>
      <w:r>
        <w:rPr>
          <w:rFonts w:hint="eastAsia" w:ascii="宋体" w:hAnsi="宋体"/>
          <w:color w:val="000000" w:themeColor="text1"/>
          <w:kern w:val="0"/>
          <w:sz w:val="18"/>
          <w:szCs w:val="18"/>
        </w:rPr>
        <w:t>5</w:t>
      </w:r>
      <w:r>
        <w:rPr>
          <w:rFonts w:ascii="宋体" w:hAnsi="宋体"/>
          <w:color w:val="000000" w:themeColor="text1"/>
          <w:kern w:val="0"/>
          <w:sz w:val="18"/>
          <w:szCs w:val="18"/>
        </w:rPr>
        <w:t>.</w:t>
      </w:r>
      <w:r>
        <w:rPr>
          <w:rFonts w:hint="eastAsia" w:ascii="宋体" w:hAnsi="宋体"/>
          <w:color w:val="000000" w:themeColor="text1"/>
          <w:kern w:val="0"/>
          <w:sz w:val="18"/>
          <w:szCs w:val="18"/>
        </w:rPr>
        <w:t>各类金融类折、卡及其流水，如银行、证券、保险、低保、扶贫、工资等的折和卡及其流水；</w:t>
      </w:r>
    </w:p>
    <w:p>
      <w:pPr>
        <w:spacing w:line="300" w:lineRule="exact"/>
        <w:ind w:firstLine="360" w:firstLineChars="200"/>
        <w:rPr>
          <w:rFonts w:ascii="宋体" w:hAnsi="宋体"/>
          <w:color w:val="000000" w:themeColor="text1"/>
          <w:kern w:val="0"/>
          <w:sz w:val="18"/>
          <w:szCs w:val="18"/>
        </w:rPr>
      </w:pPr>
      <w:r>
        <w:rPr>
          <w:rFonts w:ascii="宋体" w:hAnsi="宋体"/>
          <w:color w:val="000000" w:themeColor="text1"/>
          <w:kern w:val="0"/>
          <w:sz w:val="18"/>
          <w:szCs w:val="18"/>
        </w:rPr>
        <w:t>1</w:t>
      </w:r>
      <w:r>
        <w:rPr>
          <w:rFonts w:hint="eastAsia" w:ascii="宋体" w:hAnsi="宋体"/>
          <w:color w:val="000000" w:themeColor="text1"/>
          <w:kern w:val="0"/>
          <w:sz w:val="18"/>
          <w:szCs w:val="18"/>
        </w:rPr>
        <w:t>6</w:t>
      </w:r>
      <w:r>
        <w:rPr>
          <w:rFonts w:ascii="宋体" w:hAnsi="宋体"/>
          <w:color w:val="000000" w:themeColor="text1"/>
          <w:kern w:val="0"/>
          <w:sz w:val="18"/>
          <w:szCs w:val="18"/>
        </w:rPr>
        <w:t>.</w:t>
      </w:r>
      <w:r>
        <w:rPr>
          <w:rFonts w:hint="eastAsia" w:ascii="宋体" w:hAnsi="宋体"/>
          <w:color w:val="000000" w:themeColor="text1"/>
          <w:kern w:val="0"/>
          <w:sz w:val="18"/>
          <w:szCs w:val="18"/>
        </w:rPr>
        <w:t>各类名册、明细表等，如各单位的人员名册、社保局出具的参保人员明细等；</w:t>
      </w:r>
    </w:p>
    <w:p>
      <w:pPr>
        <w:spacing w:line="300" w:lineRule="exact"/>
        <w:ind w:firstLine="360" w:firstLineChars="200"/>
        <w:rPr>
          <w:rFonts w:ascii="宋体" w:hAnsi="宋体"/>
          <w:color w:val="000000" w:themeColor="text1"/>
          <w:kern w:val="0"/>
          <w:sz w:val="18"/>
          <w:szCs w:val="18"/>
        </w:rPr>
      </w:pPr>
      <w:r>
        <w:rPr>
          <w:rFonts w:ascii="宋体" w:hAnsi="宋体"/>
          <w:color w:val="000000" w:themeColor="text1"/>
          <w:kern w:val="0"/>
          <w:sz w:val="18"/>
          <w:szCs w:val="18"/>
        </w:rPr>
        <w:t>1</w:t>
      </w:r>
      <w:r>
        <w:rPr>
          <w:rFonts w:hint="eastAsia" w:ascii="宋体" w:hAnsi="宋体"/>
          <w:color w:val="000000" w:themeColor="text1"/>
          <w:kern w:val="0"/>
          <w:sz w:val="18"/>
          <w:szCs w:val="18"/>
        </w:rPr>
        <w:t>7</w:t>
      </w:r>
      <w:r>
        <w:rPr>
          <w:rFonts w:ascii="宋体" w:hAnsi="宋体"/>
          <w:color w:val="000000" w:themeColor="text1"/>
          <w:kern w:val="0"/>
          <w:sz w:val="18"/>
          <w:szCs w:val="18"/>
        </w:rPr>
        <w:t>.</w:t>
      </w:r>
      <w:r>
        <w:rPr>
          <w:rFonts w:hint="eastAsia" w:ascii="宋体" w:hAnsi="宋体"/>
          <w:color w:val="000000" w:themeColor="text1"/>
          <w:kern w:val="0"/>
          <w:sz w:val="18"/>
          <w:szCs w:val="18"/>
        </w:rPr>
        <w:t>行政机关主动公开、依申请公开或提供查询的信息，如政府网站、企业官方网站等公开或提供查询的信息，人民银行网站或人工提供查询出具的个人信用报告和企业信用报告，房产局提供查询的房屋信息查询结果，依申请公开答复信息。</w:t>
      </w:r>
    </w:p>
    <w:p>
      <w:pPr>
        <w:shd w:val="clear" w:color="auto" w:fill="FFFFFF"/>
        <w:spacing w:line="300" w:lineRule="exact"/>
        <w:ind w:firstLine="352" w:firstLineChars="196"/>
        <w:jc w:val="left"/>
        <w:rPr>
          <w:rFonts w:ascii="黑体" w:hAnsi="黑体" w:eastAsia="黑体"/>
          <w:color w:val="000000" w:themeColor="text1"/>
          <w:sz w:val="32"/>
          <w:szCs w:val="32"/>
        </w:rPr>
      </w:pPr>
      <w:r>
        <w:rPr>
          <w:rFonts w:hint="eastAsia" w:ascii="宋体" w:hAnsi="宋体"/>
          <w:color w:val="000000" w:themeColor="text1"/>
          <w:kern w:val="0"/>
          <w:sz w:val="18"/>
          <w:szCs w:val="18"/>
        </w:rPr>
        <w:t>七、本清单内容及清单管理的要求由市公共服务（证明）事项清理规范工作领导小组办公室负责解释。</w:t>
      </w:r>
    </w:p>
    <w:sectPr>
      <w:footerReference r:id="rId3" w:type="default"/>
      <w:pgSz w:w="16838" w:h="11906" w:orient="landscape"/>
      <w:pgMar w:top="1587" w:right="1701" w:bottom="1587" w:left="215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910F6"/>
    <w:multiLevelType w:val="singleLevel"/>
    <w:tmpl w:val="84C910F6"/>
    <w:lvl w:ilvl="0" w:tentative="0">
      <w:start w:val="4"/>
      <w:numFmt w:val="decimal"/>
      <w:lvlText w:val="%1."/>
      <w:lvlJc w:val="left"/>
      <w:pPr>
        <w:tabs>
          <w:tab w:val="left" w:pos="312"/>
        </w:tabs>
      </w:pPr>
    </w:lvl>
  </w:abstractNum>
  <w:abstractNum w:abstractNumId="1">
    <w:nsid w:val="B1BA349A"/>
    <w:multiLevelType w:val="singleLevel"/>
    <w:tmpl w:val="B1BA349A"/>
    <w:lvl w:ilvl="0" w:tentative="0">
      <w:start w:val="1"/>
      <w:numFmt w:val="decimal"/>
      <w:lvlText w:val="%1."/>
      <w:lvlJc w:val="left"/>
      <w:pPr>
        <w:tabs>
          <w:tab w:val="left" w:pos="312"/>
        </w:tabs>
      </w:pPr>
    </w:lvl>
  </w:abstractNum>
  <w:abstractNum w:abstractNumId="2">
    <w:nsid w:val="B31BA82A"/>
    <w:multiLevelType w:val="singleLevel"/>
    <w:tmpl w:val="B31BA82A"/>
    <w:lvl w:ilvl="0" w:tentative="0">
      <w:start w:val="1"/>
      <w:numFmt w:val="decimal"/>
      <w:lvlText w:val="%1."/>
      <w:lvlJc w:val="left"/>
      <w:pPr>
        <w:tabs>
          <w:tab w:val="left" w:pos="312"/>
        </w:tabs>
      </w:pPr>
    </w:lvl>
  </w:abstractNum>
  <w:abstractNum w:abstractNumId="3">
    <w:nsid w:val="0B90D7D6"/>
    <w:multiLevelType w:val="singleLevel"/>
    <w:tmpl w:val="0B90D7D6"/>
    <w:lvl w:ilvl="0" w:tentative="0">
      <w:start w:val="1"/>
      <w:numFmt w:val="decimal"/>
      <w:lvlText w:val="%1."/>
      <w:lvlJc w:val="left"/>
      <w:pPr>
        <w:tabs>
          <w:tab w:val="left" w:pos="312"/>
        </w:tabs>
      </w:pPr>
    </w:lvl>
  </w:abstractNum>
  <w:abstractNum w:abstractNumId="4">
    <w:nsid w:val="37408FAF"/>
    <w:multiLevelType w:val="singleLevel"/>
    <w:tmpl w:val="37408F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E04AE"/>
    <w:rsid w:val="00012BC9"/>
    <w:rsid w:val="00041A15"/>
    <w:rsid w:val="00064F2E"/>
    <w:rsid w:val="000659F9"/>
    <w:rsid w:val="00067C22"/>
    <w:rsid w:val="00070172"/>
    <w:rsid w:val="00070E80"/>
    <w:rsid w:val="00095451"/>
    <w:rsid w:val="000A231B"/>
    <w:rsid w:val="000A6E1E"/>
    <w:rsid w:val="000B2EF8"/>
    <w:rsid w:val="000B4E69"/>
    <w:rsid w:val="000B6069"/>
    <w:rsid w:val="000C0061"/>
    <w:rsid w:val="000D2AA1"/>
    <w:rsid w:val="000D677E"/>
    <w:rsid w:val="000E60E7"/>
    <w:rsid w:val="000E7497"/>
    <w:rsid w:val="0010768E"/>
    <w:rsid w:val="0011242F"/>
    <w:rsid w:val="00114BFA"/>
    <w:rsid w:val="00123BF0"/>
    <w:rsid w:val="00134E16"/>
    <w:rsid w:val="00135510"/>
    <w:rsid w:val="001437A1"/>
    <w:rsid w:val="00150864"/>
    <w:rsid w:val="001649DA"/>
    <w:rsid w:val="001652B5"/>
    <w:rsid w:val="00167598"/>
    <w:rsid w:val="00182C12"/>
    <w:rsid w:val="0019147A"/>
    <w:rsid w:val="00192B79"/>
    <w:rsid w:val="00194C68"/>
    <w:rsid w:val="00195B34"/>
    <w:rsid w:val="001978AF"/>
    <w:rsid w:val="001A4741"/>
    <w:rsid w:val="001B4C1E"/>
    <w:rsid w:val="001B649F"/>
    <w:rsid w:val="001E353F"/>
    <w:rsid w:val="00225E6B"/>
    <w:rsid w:val="00230A99"/>
    <w:rsid w:val="00282C56"/>
    <w:rsid w:val="00290082"/>
    <w:rsid w:val="00293E6E"/>
    <w:rsid w:val="002A757B"/>
    <w:rsid w:val="002B3DBF"/>
    <w:rsid w:val="002B5EA0"/>
    <w:rsid w:val="002D6880"/>
    <w:rsid w:val="002E19C5"/>
    <w:rsid w:val="002E54BD"/>
    <w:rsid w:val="002F2D96"/>
    <w:rsid w:val="002F3000"/>
    <w:rsid w:val="002F465F"/>
    <w:rsid w:val="00303107"/>
    <w:rsid w:val="00306BFF"/>
    <w:rsid w:val="00321905"/>
    <w:rsid w:val="00341BD3"/>
    <w:rsid w:val="003473B0"/>
    <w:rsid w:val="00375F41"/>
    <w:rsid w:val="00385761"/>
    <w:rsid w:val="00386EC2"/>
    <w:rsid w:val="00387B54"/>
    <w:rsid w:val="003A059F"/>
    <w:rsid w:val="003A2598"/>
    <w:rsid w:val="003A5101"/>
    <w:rsid w:val="0041742B"/>
    <w:rsid w:val="0043773B"/>
    <w:rsid w:val="00444608"/>
    <w:rsid w:val="004471A9"/>
    <w:rsid w:val="00455513"/>
    <w:rsid w:val="004631FD"/>
    <w:rsid w:val="00483329"/>
    <w:rsid w:val="004A078B"/>
    <w:rsid w:val="004A73C0"/>
    <w:rsid w:val="004A7D1F"/>
    <w:rsid w:val="004B2B4B"/>
    <w:rsid w:val="004C668A"/>
    <w:rsid w:val="004D0525"/>
    <w:rsid w:val="004E386B"/>
    <w:rsid w:val="004E72AC"/>
    <w:rsid w:val="004F4245"/>
    <w:rsid w:val="004F67F8"/>
    <w:rsid w:val="005054D5"/>
    <w:rsid w:val="00513BC6"/>
    <w:rsid w:val="00520E27"/>
    <w:rsid w:val="00521FF3"/>
    <w:rsid w:val="00522AFB"/>
    <w:rsid w:val="00551187"/>
    <w:rsid w:val="005545C1"/>
    <w:rsid w:val="005552B2"/>
    <w:rsid w:val="00570E7E"/>
    <w:rsid w:val="005752F6"/>
    <w:rsid w:val="00585E8F"/>
    <w:rsid w:val="005A0FB5"/>
    <w:rsid w:val="005B38AE"/>
    <w:rsid w:val="005E1172"/>
    <w:rsid w:val="005E1977"/>
    <w:rsid w:val="005E78BD"/>
    <w:rsid w:val="006131E1"/>
    <w:rsid w:val="00685950"/>
    <w:rsid w:val="00691781"/>
    <w:rsid w:val="00692FE0"/>
    <w:rsid w:val="006B3F24"/>
    <w:rsid w:val="006B6214"/>
    <w:rsid w:val="006C2FBA"/>
    <w:rsid w:val="006C4EA8"/>
    <w:rsid w:val="006E2B29"/>
    <w:rsid w:val="006F0009"/>
    <w:rsid w:val="006F02D0"/>
    <w:rsid w:val="006F1655"/>
    <w:rsid w:val="0070612E"/>
    <w:rsid w:val="00707360"/>
    <w:rsid w:val="00726060"/>
    <w:rsid w:val="007335DB"/>
    <w:rsid w:val="00755FDE"/>
    <w:rsid w:val="00756D36"/>
    <w:rsid w:val="00762CF3"/>
    <w:rsid w:val="00765885"/>
    <w:rsid w:val="007672A1"/>
    <w:rsid w:val="0077032F"/>
    <w:rsid w:val="00777E85"/>
    <w:rsid w:val="007805F3"/>
    <w:rsid w:val="00792B36"/>
    <w:rsid w:val="007A3F1A"/>
    <w:rsid w:val="007A4DEB"/>
    <w:rsid w:val="007B19B2"/>
    <w:rsid w:val="007D1C6E"/>
    <w:rsid w:val="007E04C6"/>
    <w:rsid w:val="007E4C46"/>
    <w:rsid w:val="00820443"/>
    <w:rsid w:val="00832A08"/>
    <w:rsid w:val="00834590"/>
    <w:rsid w:val="00835892"/>
    <w:rsid w:val="00843441"/>
    <w:rsid w:val="00843806"/>
    <w:rsid w:val="00866700"/>
    <w:rsid w:val="00867F80"/>
    <w:rsid w:val="00874230"/>
    <w:rsid w:val="0087665C"/>
    <w:rsid w:val="00886034"/>
    <w:rsid w:val="0089491D"/>
    <w:rsid w:val="008A0D2F"/>
    <w:rsid w:val="008A27A9"/>
    <w:rsid w:val="008A4192"/>
    <w:rsid w:val="008B3A03"/>
    <w:rsid w:val="008C6469"/>
    <w:rsid w:val="008D22DA"/>
    <w:rsid w:val="008E3AC0"/>
    <w:rsid w:val="008E6D09"/>
    <w:rsid w:val="008E7D64"/>
    <w:rsid w:val="00907EAE"/>
    <w:rsid w:val="009153FD"/>
    <w:rsid w:val="0092060E"/>
    <w:rsid w:val="00925549"/>
    <w:rsid w:val="00941AEA"/>
    <w:rsid w:val="00945228"/>
    <w:rsid w:val="00945EB2"/>
    <w:rsid w:val="009469C9"/>
    <w:rsid w:val="0095193B"/>
    <w:rsid w:val="009525FA"/>
    <w:rsid w:val="00955587"/>
    <w:rsid w:val="009575BC"/>
    <w:rsid w:val="00962A2F"/>
    <w:rsid w:val="009640AD"/>
    <w:rsid w:val="00972533"/>
    <w:rsid w:val="009827D2"/>
    <w:rsid w:val="00985E74"/>
    <w:rsid w:val="009A3F7C"/>
    <w:rsid w:val="009A512B"/>
    <w:rsid w:val="009B12B9"/>
    <w:rsid w:val="009B1B30"/>
    <w:rsid w:val="009B7DFE"/>
    <w:rsid w:val="009C18B7"/>
    <w:rsid w:val="009C2237"/>
    <w:rsid w:val="009E04AE"/>
    <w:rsid w:val="009F1BF2"/>
    <w:rsid w:val="009F459C"/>
    <w:rsid w:val="009F5973"/>
    <w:rsid w:val="009F6142"/>
    <w:rsid w:val="00A0426C"/>
    <w:rsid w:val="00A0770E"/>
    <w:rsid w:val="00A134BB"/>
    <w:rsid w:val="00A1528C"/>
    <w:rsid w:val="00A3717C"/>
    <w:rsid w:val="00A576DB"/>
    <w:rsid w:val="00A610D1"/>
    <w:rsid w:val="00A63BC1"/>
    <w:rsid w:val="00A65131"/>
    <w:rsid w:val="00A6595C"/>
    <w:rsid w:val="00A76429"/>
    <w:rsid w:val="00AC2491"/>
    <w:rsid w:val="00AD300E"/>
    <w:rsid w:val="00AE6B67"/>
    <w:rsid w:val="00AE787A"/>
    <w:rsid w:val="00B02752"/>
    <w:rsid w:val="00B10206"/>
    <w:rsid w:val="00B10F3A"/>
    <w:rsid w:val="00B121E3"/>
    <w:rsid w:val="00B17766"/>
    <w:rsid w:val="00B21640"/>
    <w:rsid w:val="00B2277E"/>
    <w:rsid w:val="00B338FE"/>
    <w:rsid w:val="00B36823"/>
    <w:rsid w:val="00B36B3D"/>
    <w:rsid w:val="00B472CB"/>
    <w:rsid w:val="00B61E80"/>
    <w:rsid w:val="00B6765A"/>
    <w:rsid w:val="00B709D7"/>
    <w:rsid w:val="00B75E36"/>
    <w:rsid w:val="00B75F42"/>
    <w:rsid w:val="00B874D2"/>
    <w:rsid w:val="00BA07BC"/>
    <w:rsid w:val="00BA5216"/>
    <w:rsid w:val="00BC0F3A"/>
    <w:rsid w:val="00BD4FD1"/>
    <w:rsid w:val="00BD7CB7"/>
    <w:rsid w:val="00BE5C30"/>
    <w:rsid w:val="00BE6713"/>
    <w:rsid w:val="00BF4050"/>
    <w:rsid w:val="00BF5433"/>
    <w:rsid w:val="00C05AB2"/>
    <w:rsid w:val="00C1238E"/>
    <w:rsid w:val="00C27A6E"/>
    <w:rsid w:val="00C31B93"/>
    <w:rsid w:val="00C51511"/>
    <w:rsid w:val="00C569A3"/>
    <w:rsid w:val="00CA61DE"/>
    <w:rsid w:val="00CB23DF"/>
    <w:rsid w:val="00CB7331"/>
    <w:rsid w:val="00CC3A52"/>
    <w:rsid w:val="00CF2A2F"/>
    <w:rsid w:val="00CF347A"/>
    <w:rsid w:val="00CF4BD6"/>
    <w:rsid w:val="00CF5BEA"/>
    <w:rsid w:val="00D02671"/>
    <w:rsid w:val="00D10FD5"/>
    <w:rsid w:val="00D164A1"/>
    <w:rsid w:val="00D16741"/>
    <w:rsid w:val="00D23E99"/>
    <w:rsid w:val="00D34B29"/>
    <w:rsid w:val="00D47942"/>
    <w:rsid w:val="00D55829"/>
    <w:rsid w:val="00D71226"/>
    <w:rsid w:val="00D74294"/>
    <w:rsid w:val="00D74DBC"/>
    <w:rsid w:val="00D7558F"/>
    <w:rsid w:val="00D8195B"/>
    <w:rsid w:val="00D86CB7"/>
    <w:rsid w:val="00DA5BDD"/>
    <w:rsid w:val="00DC3667"/>
    <w:rsid w:val="00DC5D75"/>
    <w:rsid w:val="00DC7F6B"/>
    <w:rsid w:val="00DD21CE"/>
    <w:rsid w:val="00DD4584"/>
    <w:rsid w:val="00DE63B1"/>
    <w:rsid w:val="00DE7657"/>
    <w:rsid w:val="00E2364B"/>
    <w:rsid w:val="00E262E2"/>
    <w:rsid w:val="00E301B4"/>
    <w:rsid w:val="00E37733"/>
    <w:rsid w:val="00E50BF2"/>
    <w:rsid w:val="00E67F8D"/>
    <w:rsid w:val="00E90F9C"/>
    <w:rsid w:val="00E948F6"/>
    <w:rsid w:val="00EA2DA3"/>
    <w:rsid w:val="00EB0F45"/>
    <w:rsid w:val="00EC16CF"/>
    <w:rsid w:val="00EC7A7B"/>
    <w:rsid w:val="00EE3BBA"/>
    <w:rsid w:val="00F05660"/>
    <w:rsid w:val="00F23CC7"/>
    <w:rsid w:val="00F33A4F"/>
    <w:rsid w:val="00F353B8"/>
    <w:rsid w:val="00F357EB"/>
    <w:rsid w:val="00F36B93"/>
    <w:rsid w:val="00F4678A"/>
    <w:rsid w:val="00F62517"/>
    <w:rsid w:val="00F779C1"/>
    <w:rsid w:val="00F81FC3"/>
    <w:rsid w:val="00F84273"/>
    <w:rsid w:val="00F85DB7"/>
    <w:rsid w:val="00FA753A"/>
    <w:rsid w:val="00FB1C09"/>
    <w:rsid w:val="00FC03F5"/>
    <w:rsid w:val="00FC0849"/>
    <w:rsid w:val="00FC0B7F"/>
    <w:rsid w:val="00FC1FAC"/>
    <w:rsid w:val="00FC30F4"/>
    <w:rsid w:val="00FC4CAA"/>
    <w:rsid w:val="00FE5AAF"/>
    <w:rsid w:val="00FE5E33"/>
    <w:rsid w:val="00FF0373"/>
    <w:rsid w:val="00FF2411"/>
    <w:rsid w:val="00FF5983"/>
    <w:rsid w:val="058F0BE6"/>
    <w:rsid w:val="06B816A1"/>
    <w:rsid w:val="09E94FF7"/>
    <w:rsid w:val="0E140686"/>
    <w:rsid w:val="0E272172"/>
    <w:rsid w:val="0FF64CEE"/>
    <w:rsid w:val="10DC7F56"/>
    <w:rsid w:val="13BA516D"/>
    <w:rsid w:val="13D54D16"/>
    <w:rsid w:val="16605364"/>
    <w:rsid w:val="177D2F2B"/>
    <w:rsid w:val="1C883D48"/>
    <w:rsid w:val="235D46DA"/>
    <w:rsid w:val="25C23308"/>
    <w:rsid w:val="28D96100"/>
    <w:rsid w:val="2C40786D"/>
    <w:rsid w:val="30FE77C8"/>
    <w:rsid w:val="344236EC"/>
    <w:rsid w:val="36E25FB3"/>
    <w:rsid w:val="38F32930"/>
    <w:rsid w:val="42BB7ED0"/>
    <w:rsid w:val="45CA33DD"/>
    <w:rsid w:val="491F2D2B"/>
    <w:rsid w:val="4C0230F1"/>
    <w:rsid w:val="50807CA8"/>
    <w:rsid w:val="52CD2279"/>
    <w:rsid w:val="5489168C"/>
    <w:rsid w:val="54A339F6"/>
    <w:rsid w:val="558C5D1F"/>
    <w:rsid w:val="5A243E62"/>
    <w:rsid w:val="5E3D5754"/>
    <w:rsid w:val="5F2A4D1A"/>
    <w:rsid w:val="5FF16B9D"/>
    <w:rsid w:val="60561BAB"/>
    <w:rsid w:val="62DE3C77"/>
    <w:rsid w:val="636D6E5F"/>
    <w:rsid w:val="638404DA"/>
    <w:rsid w:val="643D679F"/>
    <w:rsid w:val="66A138F1"/>
    <w:rsid w:val="727F18C0"/>
    <w:rsid w:val="741E3148"/>
    <w:rsid w:val="742E3EF9"/>
    <w:rsid w:val="74AA2F3B"/>
    <w:rsid w:val="77042128"/>
    <w:rsid w:val="77DC4A05"/>
    <w:rsid w:val="780D45AE"/>
    <w:rsid w:val="78C43276"/>
    <w:rsid w:val="7D17478E"/>
    <w:rsid w:val="7DFD0575"/>
    <w:rsid w:val="7E8F22C1"/>
    <w:rsid w:val="7F8C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23"/>
    <w:qFormat/>
    <w:uiPriority w:val="0"/>
    <w:pPr>
      <w:ind w:left="100" w:leftChars="2500"/>
    </w:pPr>
    <w:rPr>
      <w:szCs w:val="24"/>
    </w:rPr>
  </w:style>
  <w:style w:type="paragraph" w:styleId="5">
    <w:name w:val="Balloon Text"/>
    <w:basedOn w:val="1"/>
    <w:link w:val="21"/>
    <w:unhideWhenUsed/>
    <w:qFormat/>
    <w:uiPriority w:val="0"/>
    <w:rPr>
      <w:rFonts w:ascii="Calibri" w:hAnsi="Calibri"/>
      <w:sz w:val="18"/>
      <w:szCs w:val="18"/>
    </w:r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bCs/>
    </w:rPr>
  </w:style>
  <w:style w:type="character" w:styleId="11">
    <w:name w:val="page number"/>
    <w:basedOn w:val="9"/>
    <w:qFormat/>
    <w:uiPriority w:val="0"/>
  </w:style>
  <w:style w:type="character" w:styleId="12">
    <w:name w:val="Emphasis"/>
    <w:qFormat/>
    <w:uiPriority w:val="0"/>
    <w:rPr>
      <w:i/>
      <w:iCs/>
    </w:rPr>
  </w:style>
  <w:style w:type="character" w:styleId="13">
    <w:name w:val="Hyperlink"/>
    <w:qFormat/>
    <w:uiPriority w:val="99"/>
    <w:rPr>
      <w:color w:val="0000FF"/>
      <w:u w:val="single"/>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9"/>
    <w:link w:val="2"/>
    <w:qFormat/>
    <w:uiPriority w:val="0"/>
    <w:rPr>
      <w:rFonts w:ascii="Times New Roman" w:hAnsi="Times New Roman" w:eastAsia="宋体" w:cs="Times New Roman"/>
      <w:b/>
      <w:bCs/>
      <w:kern w:val="44"/>
      <w:sz w:val="44"/>
      <w:szCs w:val="44"/>
    </w:rPr>
  </w:style>
  <w:style w:type="character" w:customStyle="1" w:styleId="17">
    <w:name w:val="标题 3 Char"/>
    <w:basedOn w:val="9"/>
    <w:link w:val="3"/>
    <w:qFormat/>
    <w:uiPriority w:val="9"/>
    <w:rPr>
      <w:rFonts w:ascii="宋体" w:hAnsi="宋体" w:eastAsia="宋体" w:cs="Times New Roman"/>
      <w:b/>
      <w:bCs/>
      <w:kern w:val="0"/>
      <w:sz w:val="27"/>
      <w:szCs w:val="27"/>
    </w:rPr>
  </w:style>
  <w:style w:type="character" w:customStyle="1" w:styleId="18">
    <w:name w:val="页眉 Char"/>
    <w:basedOn w:val="9"/>
    <w:link w:val="7"/>
    <w:qFormat/>
    <w:uiPriority w:val="0"/>
    <w:rPr>
      <w:sz w:val="18"/>
      <w:szCs w:val="18"/>
    </w:rPr>
  </w:style>
  <w:style w:type="character" w:customStyle="1" w:styleId="19">
    <w:name w:val="页脚 Char"/>
    <w:basedOn w:val="9"/>
    <w:link w:val="6"/>
    <w:qFormat/>
    <w:uiPriority w:val="0"/>
    <w:rPr>
      <w:sz w:val="18"/>
      <w:szCs w:val="18"/>
    </w:rPr>
  </w:style>
  <w:style w:type="character" w:customStyle="1" w:styleId="20">
    <w:name w:val="批注框文本 Char"/>
    <w:basedOn w:val="9"/>
    <w:link w:val="5"/>
    <w:qFormat/>
    <w:uiPriority w:val="99"/>
    <w:rPr>
      <w:sz w:val="18"/>
      <w:szCs w:val="18"/>
    </w:rPr>
  </w:style>
  <w:style w:type="character" w:customStyle="1" w:styleId="21">
    <w:name w:val="批注框文本 Char1"/>
    <w:basedOn w:val="9"/>
    <w:link w:val="5"/>
    <w:semiHidden/>
    <w:qFormat/>
    <w:uiPriority w:val="99"/>
    <w:rPr>
      <w:rFonts w:ascii="Times New Roman" w:hAnsi="Times New Roman" w:eastAsia="宋体" w:cs="Times New Roman"/>
      <w:sz w:val="18"/>
      <w:szCs w:val="18"/>
    </w:rPr>
  </w:style>
  <w:style w:type="paragraph" w:customStyle="1" w:styleId="22">
    <w:name w:val="Char Char Char Char"/>
    <w:basedOn w:val="1"/>
    <w:qFormat/>
    <w:uiPriority w:val="0"/>
  </w:style>
  <w:style w:type="character" w:customStyle="1" w:styleId="23">
    <w:name w:val="日期 Char"/>
    <w:basedOn w:val="9"/>
    <w:link w:val="4"/>
    <w:qFormat/>
    <w:uiPriority w:val="0"/>
    <w:rPr>
      <w:rFonts w:ascii="Times New Roman" w:hAnsi="Times New Roman" w:eastAsia="宋体" w:cs="Times New Roman"/>
      <w:szCs w:val="24"/>
    </w:rPr>
  </w:style>
  <w:style w:type="character" w:customStyle="1" w:styleId="24">
    <w:name w:val="标题 1 字符"/>
    <w:qFormat/>
    <w:uiPriority w:val="0"/>
    <w:rPr>
      <w:b/>
      <w:bCs/>
      <w:kern w:val="44"/>
      <w:sz w:val="44"/>
      <w:szCs w:val="44"/>
    </w:rPr>
  </w:style>
  <w:style w:type="character" w:customStyle="1" w:styleId="25">
    <w:name w:val="标题 3 字符"/>
    <w:semiHidden/>
    <w:qFormat/>
    <w:uiPriority w:val="0"/>
    <w:rPr>
      <w:b/>
      <w:bCs/>
      <w:kern w:val="2"/>
      <w:sz w:val="32"/>
      <w:szCs w:val="32"/>
    </w:rPr>
  </w:style>
  <w:style w:type="character" w:customStyle="1" w:styleId="26">
    <w:name w:val="批注框文本 字符"/>
    <w:qFormat/>
    <w:uiPriority w:val="0"/>
    <w:rPr>
      <w:kern w:val="2"/>
      <w:sz w:val="18"/>
      <w:szCs w:val="18"/>
    </w:rPr>
  </w:style>
  <w:style w:type="character" w:customStyle="1" w:styleId="27">
    <w:name w:val="apple-converted-space"/>
    <w:qFormat/>
    <w:uiPriority w:val="0"/>
  </w:style>
  <w:style w:type="character" w:customStyle="1" w:styleId="28">
    <w:name w:val="titl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46</Pages>
  <Words>27334</Words>
  <Characters>28069</Characters>
  <Lines>217</Lines>
  <Paragraphs>61</Paragraphs>
  <TotalTime>26</TotalTime>
  <ScaleCrop>false</ScaleCrop>
  <LinksUpToDate>false</LinksUpToDate>
  <CharactersWithSpaces>28255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2018-06-26T10:40:00Z</dcterms:created>
  <dc:creator>Administrator</dc:creator>
  <cp:lastModifiedBy>Administrator</cp:lastModifiedBy>
  <cp:lastPrinted>2018-07-25T00:44:00Z</cp:lastPrinted>
  <dcterms:modified xsi:type="dcterms:W3CDTF">2020-09-21T07:15:38Z</dcterms:modified>
  <dc:title>吉林市需求端证明事项清单</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