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02B" w:rsidRDefault="00BC5C26">
      <w:pPr>
        <w:rPr>
          <w:rFonts w:ascii="黑体" w:eastAsia="黑体" w:hAnsi="黑体"/>
          <w:sz w:val="32"/>
          <w:szCs w:val="32"/>
        </w:rPr>
      </w:pPr>
      <w:r>
        <w:rPr>
          <w:rFonts w:ascii="黑体" w:eastAsia="黑体" w:hAnsi="黑体" w:hint="eastAsia"/>
          <w:sz w:val="32"/>
          <w:szCs w:val="32"/>
        </w:rPr>
        <w:t>附件2</w:t>
      </w:r>
    </w:p>
    <w:p w:rsidR="0057702B" w:rsidRDefault="00BC5C26">
      <w:pPr>
        <w:spacing w:before="140" w:after="140" w:line="480" w:lineRule="auto"/>
        <w:jc w:val="center"/>
        <w:rPr>
          <w:rFonts w:ascii="黑体" w:eastAsia="黑体" w:hAnsi="黑体" w:cs="黑体"/>
          <w:kern w:val="0"/>
          <w:sz w:val="32"/>
          <w:szCs w:val="32"/>
        </w:rPr>
      </w:pPr>
      <w:r>
        <w:rPr>
          <w:rFonts w:ascii="方正小标宋简体" w:eastAsia="方正小标宋简体" w:hAnsi="方正小标宋简体" w:cs="方正小标宋简体" w:hint="eastAsia"/>
          <w:sz w:val="44"/>
          <w:szCs w:val="44"/>
        </w:rPr>
        <w:t>关于部分检验项目的说明</w:t>
      </w:r>
    </w:p>
    <w:p w:rsidR="0057702B" w:rsidRDefault="0057702B">
      <w:pPr>
        <w:pStyle w:val="HTML"/>
        <w:shd w:val="clear" w:color="auto" w:fill="FFFFFF"/>
        <w:spacing w:before="150" w:after="150" w:line="435" w:lineRule="atLeast"/>
        <w:ind w:firstLineChars="200" w:firstLine="640"/>
        <w:rPr>
          <w:rFonts w:ascii="黑体" w:eastAsia="黑体" w:hAnsi="黑体" w:cs="黑体"/>
          <w:kern w:val="0"/>
          <w:sz w:val="32"/>
          <w:szCs w:val="32"/>
        </w:rPr>
      </w:pPr>
    </w:p>
    <w:p w:rsidR="0057702B" w:rsidRDefault="00BC5C26">
      <w:pPr>
        <w:pStyle w:val="HTML"/>
        <w:shd w:val="clear" w:color="auto" w:fill="FFFFFF"/>
        <w:spacing w:before="150" w:after="150" w:line="435" w:lineRule="atLeast"/>
        <w:ind w:firstLineChars="200" w:firstLine="640"/>
        <w:rPr>
          <w:rFonts w:ascii="黑体" w:eastAsia="黑体" w:hAnsi="黑体" w:cs="黑体"/>
          <w:kern w:val="0"/>
          <w:sz w:val="32"/>
          <w:szCs w:val="32"/>
        </w:rPr>
      </w:pPr>
      <w:r>
        <w:rPr>
          <w:rFonts w:ascii="黑体" w:eastAsia="黑体" w:hAnsi="黑体" w:cs="黑体" w:hint="eastAsia"/>
          <w:kern w:val="0"/>
          <w:sz w:val="32"/>
          <w:szCs w:val="32"/>
        </w:rPr>
        <w:t>一、大肠菌群</w:t>
      </w:r>
    </w:p>
    <w:p w:rsidR="0057702B" w:rsidRDefault="00BC5C26">
      <w:pPr>
        <w:spacing w:line="600" w:lineRule="exact"/>
        <w:ind w:firstLineChars="200" w:firstLine="640"/>
        <w:rPr>
          <w:rFonts w:ascii="仿宋_GB2312" w:eastAsia="仿宋_GB2312"/>
          <w:sz w:val="32"/>
          <w:szCs w:val="32"/>
        </w:rPr>
      </w:pPr>
      <w:r>
        <w:rPr>
          <w:rFonts w:ascii="黑体" w:eastAsia="黑体" w:hAnsi="黑体" w:hint="eastAsia"/>
          <w:color w:val="000000" w:themeColor="text1"/>
          <w:sz w:val="32"/>
          <w:szCs w:val="32"/>
        </w:rPr>
        <w:t>原因分析：</w:t>
      </w:r>
      <w:r>
        <w:rPr>
          <w:rFonts w:ascii="仿宋_GB2312" w:eastAsia="仿宋_GB2312" w:hint="eastAsia"/>
          <w:sz w:val="32"/>
          <w:szCs w:val="32"/>
        </w:rPr>
        <w:t>大肠菌群是国内外通用的食品污染常用指示菌之一。食品中检出大肠菌群，提示被致病菌（如沙门氏菌、志贺氏菌、致病性大肠杆菌）污染的可能性较大。《食品安全国家标准 消毒餐（饮）具》（GB 14934-2016）中对大肠菌群的要求为不得检出。复用餐饮具中大肠菌群不合格：一方面可能为餐饮具的清洗、灭菌不彻底，导致复用餐饮具中大肠菌群超标；另一方面可能为餐饮具在保洁过程中受到人员、工具等生产设备的污染，导致复用餐饮具中大肠菌群超标；或者餐饮具存放的地方不干净，造成二次污染，导致复用餐饮具中大肠菌群超标。</w:t>
      </w:r>
    </w:p>
    <w:p w:rsidR="0057702B" w:rsidRDefault="00BC5C26">
      <w:pPr>
        <w:pStyle w:val="HTML"/>
        <w:shd w:val="clear" w:color="auto" w:fill="FFFFFF"/>
        <w:spacing w:before="150" w:after="150" w:line="435" w:lineRule="atLeast"/>
        <w:ind w:firstLineChars="200" w:firstLine="640"/>
        <w:rPr>
          <w:rFonts w:ascii="仿宋" w:eastAsia="仿宋" w:hAnsi="仿宋"/>
          <w:color w:val="000000" w:themeColor="text1"/>
          <w:sz w:val="32"/>
          <w:szCs w:val="32"/>
        </w:rPr>
      </w:pPr>
      <w:r>
        <w:rPr>
          <w:rFonts w:ascii="黑体" w:eastAsia="黑体" w:hAnsi="黑体" w:hint="eastAsia"/>
          <w:color w:val="000000" w:themeColor="text1"/>
          <w:sz w:val="32"/>
          <w:szCs w:val="32"/>
        </w:rPr>
        <w:t>危害：</w:t>
      </w:r>
      <w:r>
        <w:rPr>
          <w:rFonts w:ascii="仿宋_GB2312" w:eastAsia="仿宋_GB2312" w:hint="eastAsia"/>
          <w:sz w:val="32"/>
          <w:szCs w:val="32"/>
        </w:rPr>
        <w:t>消费者使用大肠杆菌超标的餐饮具易导致腹痛腹泻，肠道感染等症状，对人体健康有一定的影响。</w:t>
      </w:r>
    </w:p>
    <w:p w:rsidR="0057702B" w:rsidRDefault="00BC5C26">
      <w:pPr>
        <w:pStyle w:val="HTML"/>
        <w:shd w:val="clear" w:color="auto" w:fill="FFFFFF"/>
        <w:spacing w:before="150" w:after="150" w:line="435" w:lineRule="atLeast"/>
        <w:ind w:firstLineChars="200" w:firstLine="640"/>
        <w:rPr>
          <w:rFonts w:ascii="黑体" w:eastAsia="黑体" w:hAnsi="黑体" w:cs="黑体"/>
          <w:kern w:val="0"/>
          <w:sz w:val="32"/>
          <w:szCs w:val="32"/>
        </w:rPr>
      </w:pPr>
      <w:r>
        <w:rPr>
          <w:rFonts w:ascii="黑体" w:eastAsia="黑体" w:hAnsi="黑体" w:cs="黑体" w:hint="eastAsia"/>
          <w:kern w:val="0"/>
          <w:sz w:val="32"/>
          <w:szCs w:val="32"/>
        </w:rPr>
        <w:t>二、噻虫胺</w:t>
      </w:r>
      <w:bookmarkStart w:id="0" w:name="_GoBack"/>
      <w:bookmarkEnd w:id="0"/>
    </w:p>
    <w:p w:rsidR="0057702B" w:rsidRDefault="00BC5C26">
      <w:pPr>
        <w:pStyle w:val="HTML"/>
        <w:shd w:val="clear" w:color="auto" w:fill="FFFFFF"/>
        <w:spacing w:before="150" w:after="150" w:line="435" w:lineRule="atLeast"/>
        <w:ind w:firstLineChars="200" w:firstLine="640"/>
        <w:rPr>
          <w:rFonts w:ascii="Times New Roman" w:eastAsia="仿宋_GB2312" w:hAnsi="Times New Roman" w:cs="Arial"/>
          <w:sz w:val="32"/>
          <w:szCs w:val="32"/>
        </w:rPr>
      </w:pPr>
      <w:r>
        <w:rPr>
          <w:rFonts w:ascii="黑体" w:eastAsia="黑体" w:hAnsi="黑体" w:hint="eastAsia"/>
          <w:color w:val="000000" w:themeColor="text1"/>
          <w:sz w:val="32"/>
          <w:szCs w:val="32"/>
        </w:rPr>
        <w:t>原因分析：</w:t>
      </w:r>
      <w:r>
        <w:rPr>
          <w:rFonts w:ascii="Times New Roman" w:eastAsia="仿宋_GB2312" w:hAnsi="Times New Roman" w:cs="Arial" w:hint="eastAsia"/>
          <w:sz w:val="32"/>
          <w:szCs w:val="32"/>
        </w:rPr>
        <w:t>噻虫胺属新烟碱类杀虫剂，具有内吸性、触杀和胃毒作用，对姜蛆等有较好防效。噻虫胺具有根内吸活性和层间传导性，可通过土壤处理、叶面喷施和种子处理来</w:t>
      </w:r>
      <w:r>
        <w:rPr>
          <w:rFonts w:ascii="Times New Roman" w:eastAsia="仿宋_GB2312" w:hAnsi="Times New Roman" w:cs="Arial" w:hint="eastAsia"/>
          <w:sz w:val="32"/>
          <w:szCs w:val="32"/>
        </w:rPr>
        <w:lastRenderedPageBreak/>
        <w:t>防治水稻、玉米、油菜、果树和蔬菜、柑橘的刺吸式和咀嚼式害虫。</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食品中农药最大残留限量》（</w:t>
      </w:r>
      <w:r>
        <w:rPr>
          <w:rFonts w:ascii="Times New Roman" w:eastAsia="仿宋_GB2312" w:hAnsi="Times New Roman" w:hint="eastAsia"/>
          <w:sz w:val="32"/>
          <w:szCs w:val="32"/>
        </w:rPr>
        <w:t>GB 2763-2021</w:t>
      </w:r>
      <w:r>
        <w:rPr>
          <w:rFonts w:ascii="Times New Roman" w:eastAsia="仿宋_GB2312" w:hAnsi="Times New Roman" w:hint="eastAsia"/>
          <w:sz w:val="32"/>
          <w:szCs w:val="32"/>
        </w:rPr>
        <w:t>）</w:t>
      </w:r>
      <w:r>
        <w:rPr>
          <w:rFonts w:eastAsia="仿宋_GB2312"/>
          <w:bCs/>
          <w:color w:val="000000" w:themeColor="text1"/>
          <w:sz w:val="32"/>
          <w:szCs w:val="32"/>
        </w:rPr>
        <w:t>规定，</w:t>
      </w:r>
      <w:r>
        <w:rPr>
          <w:rFonts w:ascii="Times New Roman" w:eastAsia="仿宋_GB2312" w:hAnsi="Times New Roman" w:cs="Arial" w:hint="eastAsia"/>
          <w:sz w:val="32"/>
          <w:szCs w:val="32"/>
        </w:rPr>
        <w:t>姜中噻虫胺的最大残留限量为</w:t>
      </w:r>
      <w:r>
        <w:rPr>
          <w:rFonts w:ascii="Times New Roman" w:eastAsia="仿宋_GB2312" w:hAnsi="Times New Roman" w:cs="Arial" w:hint="eastAsia"/>
          <w:sz w:val="32"/>
          <w:szCs w:val="32"/>
        </w:rPr>
        <w:t>0.2mg/kg</w:t>
      </w:r>
      <w:r>
        <w:rPr>
          <w:rFonts w:ascii="Times New Roman" w:eastAsia="仿宋_GB2312" w:hAnsi="Times New Roman" w:cs="Arial" w:hint="eastAsia"/>
          <w:sz w:val="32"/>
          <w:szCs w:val="32"/>
        </w:rPr>
        <w:t>。生姜中噻虫胺超标的原因可能是在种植过程中为快速控制虫害加大用药量，或未遵守采摘间隔期规定，致使上市销售时产品中的药物残留量未降解至标准限量以下。</w:t>
      </w:r>
    </w:p>
    <w:p w:rsidR="000E00DA" w:rsidRDefault="00BC5C26" w:rsidP="000E00DA">
      <w:pPr>
        <w:widowControl/>
        <w:ind w:left="640" w:hangingChars="200" w:hanging="640"/>
        <w:jc w:val="left"/>
        <w:rPr>
          <w:rFonts w:ascii="黑体" w:eastAsia="黑体" w:hAnsi="黑体" w:cs="黑体"/>
          <w:kern w:val="0"/>
          <w:sz w:val="32"/>
          <w:szCs w:val="32"/>
        </w:rPr>
      </w:pPr>
      <w:r>
        <w:rPr>
          <w:rFonts w:ascii="黑体" w:eastAsia="黑体" w:hAnsi="黑体" w:hint="eastAsia"/>
          <w:color w:val="000000" w:themeColor="text1"/>
          <w:sz w:val="32"/>
          <w:szCs w:val="32"/>
        </w:rPr>
        <w:t>危害：</w:t>
      </w:r>
      <w:r>
        <w:rPr>
          <w:rFonts w:eastAsia="仿宋_GB2312" w:cs="Arial" w:hint="eastAsia"/>
          <w:sz w:val="32"/>
          <w:szCs w:val="32"/>
        </w:rPr>
        <w:t>少量的残留不会引起人体急性中毒，但长期食用噻虫胺超标的食品，对人体健康可能有一定影响。</w:t>
      </w:r>
    </w:p>
    <w:p w:rsidR="000E00DA" w:rsidRPr="000E00DA" w:rsidRDefault="000E00DA" w:rsidP="000E00DA">
      <w:pPr>
        <w:widowControl/>
        <w:ind w:left="640" w:hangingChars="200" w:hanging="640"/>
        <w:jc w:val="left"/>
        <w:rPr>
          <w:rFonts w:ascii="黑体" w:eastAsia="黑体" w:hAnsi="黑体" w:cs="黑体"/>
          <w:kern w:val="0"/>
          <w:sz w:val="32"/>
          <w:szCs w:val="32"/>
        </w:rPr>
      </w:pPr>
      <w:r>
        <w:rPr>
          <w:rFonts w:ascii="黑体" w:eastAsia="黑体" w:hAnsi="黑体" w:hint="eastAsia"/>
          <w:color w:val="000000" w:themeColor="text1"/>
          <w:sz w:val="32"/>
          <w:szCs w:val="32"/>
        </w:rPr>
        <w:t>三</w:t>
      </w:r>
      <w:r>
        <w:rPr>
          <w:rFonts w:ascii="黑体" w:eastAsia="黑体" w:hAnsi="黑体" w:cs="黑体" w:hint="eastAsia"/>
          <w:kern w:val="0"/>
          <w:sz w:val="32"/>
          <w:szCs w:val="32"/>
        </w:rPr>
        <w:t>、酸价</w:t>
      </w:r>
    </w:p>
    <w:p w:rsidR="000E00DA" w:rsidRDefault="000E00DA" w:rsidP="000E00DA">
      <w:pPr>
        <w:ind w:firstLineChars="200" w:firstLine="640"/>
        <w:rPr>
          <w:rFonts w:eastAsia="仿宋_GB2312"/>
          <w:sz w:val="32"/>
          <w:szCs w:val="32"/>
        </w:rPr>
      </w:pPr>
      <w:r>
        <w:rPr>
          <w:rFonts w:ascii="黑体" w:eastAsia="黑体" w:hAnsi="黑体" w:hint="eastAsia"/>
          <w:color w:val="000000" w:themeColor="text1"/>
          <w:sz w:val="32"/>
          <w:szCs w:val="32"/>
        </w:rPr>
        <w:t>原因分析：</w:t>
      </w:r>
      <w:r>
        <w:rPr>
          <w:rFonts w:eastAsia="仿宋_GB2312" w:hint="eastAsia"/>
          <w:sz w:val="32"/>
          <w:szCs w:val="32"/>
        </w:rPr>
        <w:t>酸价，或称中和值、酸值、酸度，是指中和</w:t>
      </w:r>
      <w:r>
        <w:rPr>
          <w:rFonts w:eastAsia="仿宋_GB2312"/>
          <w:sz w:val="32"/>
          <w:szCs w:val="32"/>
        </w:rPr>
        <w:t>1</w:t>
      </w:r>
      <w:r>
        <w:rPr>
          <w:rFonts w:eastAsia="仿宋_GB2312" w:hint="eastAsia"/>
          <w:sz w:val="32"/>
          <w:szCs w:val="32"/>
        </w:rPr>
        <w:t>克油脂中游离脂肪酸所需的氢氧化钾（</w:t>
      </w:r>
      <w:r>
        <w:rPr>
          <w:rFonts w:eastAsia="仿宋_GB2312"/>
          <w:sz w:val="32"/>
          <w:szCs w:val="32"/>
        </w:rPr>
        <w:t>KOH</w:t>
      </w:r>
      <w:r>
        <w:rPr>
          <w:rFonts w:eastAsia="仿宋_GB2312" w:hint="eastAsia"/>
          <w:sz w:val="32"/>
          <w:szCs w:val="32"/>
        </w:rPr>
        <w:t>）的毫克数。油脂中的游离脂肪酸与氢氧化钾（</w:t>
      </w:r>
      <w:r>
        <w:rPr>
          <w:rFonts w:eastAsia="仿宋_GB2312"/>
          <w:sz w:val="32"/>
          <w:szCs w:val="32"/>
        </w:rPr>
        <w:t>KOH</w:t>
      </w:r>
      <w:r>
        <w:rPr>
          <w:rFonts w:eastAsia="仿宋_GB2312" w:hint="eastAsia"/>
          <w:sz w:val="32"/>
          <w:szCs w:val="32"/>
        </w:rPr>
        <w:t>）发生中和反应，从氢氧化钾（</w:t>
      </w:r>
      <w:r>
        <w:rPr>
          <w:rFonts w:eastAsia="仿宋_GB2312"/>
          <w:sz w:val="32"/>
          <w:szCs w:val="32"/>
        </w:rPr>
        <w:t>KOH</w:t>
      </w:r>
      <w:r>
        <w:rPr>
          <w:rFonts w:eastAsia="仿宋_GB2312" w:hint="eastAsia"/>
          <w:sz w:val="32"/>
          <w:szCs w:val="32"/>
        </w:rPr>
        <w:t>）标准溶液消耗量可计算出游离脂肪酸的量。酸值是强制性理化指标，是反映食品油脂酸败的指标之一。但酸值仅仅是一个理化指标，不是一种具体的客观存在的物质。</w:t>
      </w:r>
    </w:p>
    <w:p w:rsidR="000E00DA" w:rsidRDefault="000E00DA" w:rsidP="000E00DA">
      <w:pPr>
        <w:ind w:firstLineChars="200" w:firstLine="640"/>
        <w:rPr>
          <w:rFonts w:eastAsia="仿宋_GB2312"/>
          <w:sz w:val="32"/>
          <w:szCs w:val="32"/>
        </w:rPr>
      </w:pPr>
      <w:r>
        <w:rPr>
          <w:rFonts w:ascii="黑体" w:eastAsia="黑体" w:hAnsi="黑体" w:hint="eastAsia"/>
          <w:color w:val="000000" w:themeColor="text1"/>
          <w:sz w:val="32"/>
          <w:szCs w:val="32"/>
        </w:rPr>
        <w:t>危害：</w:t>
      </w:r>
      <w:r>
        <w:rPr>
          <w:rFonts w:eastAsia="仿宋_GB2312" w:hint="eastAsia"/>
          <w:sz w:val="32"/>
          <w:szCs w:val="32"/>
        </w:rPr>
        <w:t>脂肪酸本身对人体没有好处，酸价过高也会导致产品变味。酸价和过氧化值略有升高不会对人体的健康产生损害，但如果酸价过高，则会导致人体肠胃不适、腹泻并损害肝脏。</w:t>
      </w:r>
    </w:p>
    <w:p w:rsidR="0057702B" w:rsidRPr="000E00DA" w:rsidRDefault="0057702B">
      <w:pPr>
        <w:spacing w:line="600" w:lineRule="exact"/>
        <w:ind w:firstLineChars="200" w:firstLine="640"/>
        <w:rPr>
          <w:rFonts w:ascii="宋体" w:hAnsi="宋体" w:cs="宋体"/>
          <w:sz w:val="32"/>
          <w:szCs w:val="32"/>
        </w:rPr>
      </w:pPr>
    </w:p>
    <w:sectPr w:rsidR="0057702B" w:rsidRPr="000E00DA" w:rsidSect="005770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9AA" w:rsidRDefault="009D59AA" w:rsidP="000E00DA">
      <w:r>
        <w:separator/>
      </w:r>
    </w:p>
  </w:endnote>
  <w:endnote w:type="continuationSeparator" w:id="1">
    <w:p w:rsidR="009D59AA" w:rsidRDefault="009D59AA" w:rsidP="000E00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9AA" w:rsidRDefault="009D59AA" w:rsidP="000E00DA">
      <w:r>
        <w:separator/>
      </w:r>
    </w:p>
  </w:footnote>
  <w:footnote w:type="continuationSeparator" w:id="1">
    <w:p w:rsidR="009D59AA" w:rsidRDefault="009D59AA" w:rsidP="000E00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6867F7"/>
    <w:multiLevelType w:val="singleLevel"/>
    <w:tmpl w:val="946867F7"/>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7702B"/>
    <w:rsid w:val="000E00DA"/>
    <w:rsid w:val="004B578C"/>
    <w:rsid w:val="0057702B"/>
    <w:rsid w:val="00877E5D"/>
    <w:rsid w:val="009D59AA"/>
    <w:rsid w:val="00BC5C26"/>
    <w:rsid w:val="049A5719"/>
    <w:rsid w:val="0673262E"/>
    <w:rsid w:val="0A230FA1"/>
    <w:rsid w:val="0CB17F49"/>
    <w:rsid w:val="0F0A35B1"/>
    <w:rsid w:val="12813535"/>
    <w:rsid w:val="137A3D6D"/>
    <w:rsid w:val="17A8065F"/>
    <w:rsid w:val="18870E7A"/>
    <w:rsid w:val="1A2075DC"/>
    <w:rsid w:val="1F5B7DF6"/>
    <w:rsid w:val="1FA96395"/>
    <w:rsid w:val="2494733A"/>
    <w:rsid w:val="2BCB4A35"/>
    <w:rsid w:val="2FED0D5F"/>
    <w:rsid w:val="31EE7C52"/>
    <w:rsid w:val="36826B69"/>
    <w:rsid w:val="373014E4"/>
    <w:rsid w:val="39227A97"/>
    <w:rsid w:val="3D26685B"/>
    <w:rsid w:val="3E296C94"/>
    <w:rsid w:val="3E2B3C27"/>
    <w:rsid w:val="3FC931F5"/>
    <w:rsid w:val="41874C6F"/>
    <w:rsid w:val="41DD0983"/>
    <w:rsid w:val="427968F6"/>
    <w:rsid w:val="45EE2148"/>
    <w:rsid w:val="46017776"/>
    <w:rsid w:val="4B3E2C64"/>
    <w:rsid w:val="4F55070F"/>
    <w:rsid w:val="52A93ADD"/>
    <w:rsid w:val="55627089"/>
    <w:rsid w:val="570E4B08"/>
    <w:rsid w:val="59EB3031"/>
    <w:rsid w:val="5C38048B"/>
    <w:rsid w:val="5DCA750A"/>
    <w:rsid w:val="5F3A47C9"/>
    <w:rsid w:val="5FB56252"/>
    <w:rsid w:val="6510194F"/>
    <w:rsid w:val="668F70BD"/>
    <w:rsid w:val="67A530E3"/>
    <w:rsid w:val="6A2E62C7"/>
    <w:rsid w:val="6D593733"/>
    <w:rsid w:val="713F11D0"/>
    <w:rsid w:val="7BF13F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nhideWhenUsed="1"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7702B"/>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rsid w:val="0057702B"/>
    <w:pPr>
      <w:spacing w:line="360" w:lineRule="auto"/>
      <w:ind w:firstLineChars="200" w:firstLine="480"/>
    </w:pPr>
    <w:rPr>
      <w:rFonts w:ascii="Calibri" w:hAnsi="Calibri"/>
      <w:sz w:val="24"/>
      <w:lang w:val="zh-CN"/>
    </w:rPr>
  </w:style>
  <w:style w:type="paragraph" w:styleId="a4">
    <w:name w:val="Body Text Indent"/>
    <w:basedOn w:val="a"/>
    <w:next w:val="a"/>
    <w:unhideWhenUsed/>
    <w:qFormat/>
    <w:rsid w:val="0057702B"/>
    <w:pPr>
      <w:spacing w:after="120"/>
      <w:ind w:leftChars="200" w:left="420"/>
    </w:pPr>
  </w:style>
  <w:style w:type="paragraph" w:styleId="HTML">
    <w:name w:val="HTML Preformatted"/>
    <w:basedOn w:val="a"/>
    <w:link w:val="HTMLChar"/>
    <w:qFormat/>
    <w:rsid w:val="0057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styleId="a5">
    <w:name w:val="Normal (Web)"/>
    <w:basedOn w:val="a"/>
    <w:qFormat/>
    <w:rsid w:val="0057702B"/>
    <w:pPr>
      <w:widowControl/>
      <w:spacing w:before="100" w:beforeAutospacing="1" w:after="100" w:afterAutospacing="1"/>
      <w:jc w:val="left"/>
    </w:pPr>
    <w:rPr>
      <w:rFonts w:ascii="宋体" w:hAnsi="宋体" w:cs="宋体"/>
      <w:kern w:val="0"/>
      <w:sz w:val="24"/>
    </w:rPr>
  </w:style>
  <w:style w:type="paragraph" w:styleId="2">
    <w:name w:val="Body Text First Indent 2"/>
    <w:basedOn w:val="a4"/>
    <w:next w:val="a"/>
    <w:qFormat/>
    <w:rsid w:val="0057702B"/>
    <w:pPr>
      <w:ind w:firstLineChars="200" w:firstLine="420"/>
    </w:pPr>
  </w:style>
  <w:style w:type="character" w:styleId="a6">
    <w:name w:val="Hyperlink"/>
    <w:basedOn w:val="a1"/>
    <w:qFormat/>
    <w:rsid w:val="0057702B"/>
    <w:rPr>
      <w:color w:val="0000FF"/>
      <w:u w:val="single"/>
    </w:rPr>
  </w:style>
  <w:style w:type="paragraph" w:styleId="a7">
    <w:name w:val="header"/>
    <w:basedOn w:val="a"/>
    <w:link w:val="Char"/>
    <w:rsid w:val="000E00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0E00DA"/>
    <w:rPr>
      <w:kern w:val="2"/>
      <w:sz w:val="18"/>
      <w:szCs w:val="18"/>
    </w:rPr>
  </w:style>
  <w:style w:type="paragraph" w:styleId="a8">
    <w:name w:val="footer"/>
    <w:basedOn w:val="a"/>
    <w:link w:val="Char0"/>
    <w:rsid w:val="000E00DA"/>
    <w:pPr>
      <w:tabs>
        <w:tab w:val="center" w:pos="4153"/>
        <w:tab w:val="right" w:pos="8306"/>
      </w:tabs>
      <w:snapToGrid w:val="0"/>
      <w:jc w:val="left"/>
    </w:pPr>
    <w:rPr>
      <w:sz w:val="18"/>
      <w:szCs w:val="18"/>
    </w:rPr>
  </w:style>
  <w:style w:type="character" w:customStyle="1" w:styleId="Char0">
    <w:name w:val="页脚 Char"/>
    <w:basedOn w:val="a1"/>
    <w:link w:val="a8"/>
    <w:rsid w:val="000E00DA"/>
    <w:rPr>
      <w:kern w:val="2"/>
      <w:sz w:val="18"/>
      <w:szCs w:val="18"/>
    </w:rPr>
  </w:style>
  <w:style w:type="character" w:customStyle="1" w:styleId="HTMLChar">
    <w:name w:val="HTML 预设格式 Char"/>
    <w:basedOn w:val="a1"/>
    <w:link w:val="HTML"/>
    <w:rsid w:val="000E00DA"/>
    <w:rPr>
      <w:rFonts w:ascii="宋体" w:hAnsi="宋体" w:cs="宋体"/>
      <w:kern w:val="2"/>
      <w:sz w:val="24"/>
      <w:szCs w:val="24"/>
    </w:rPr>
  </w:style>
</w:styles>
</file>

<file path=word/webSettings.xml><?xml version="1.0" encoding="utf-8"?>
<w:webSettings xmlns:r="http://schemas.openxmlformats.org/officeDocument/2006/relationships" xmlns:w="http://schemas.openxmlformats.org/wordprocessingml/2006/main">
  <w:divs>
    <w:div w:id="1595087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129</Words>
  <Characters>736</Characters>
  <Application>Microsoft Office Word</Application>
  <DocSecurity>0</DocSecurity>
  <Lines>6</Lines>
  <Paragraphs>1</Paragraphs>
  <ScaleCrop>false</ScaleCrop>
  <Company>微软中国</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微软用户</cp:lastModifiedBy>
  <cp:revision>3</cp:revision>
  <dcterms:created xsi:type="dcterms:W3CDTF">2014-10-29T12:08:00Z</dcterms:created>
  <dcterms:modified xsi:type="dcterms:W3CDTF">2021-12-27T05:56:00Z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77B97A6A53A34045B64F2789BF340236</vt:lpwstr>
  </property>
</Properties>
</file>